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rPr>
          <w:rFonts w:asciiTheme="minorEastAsia" w:hAnsiTheme="minorEastAsia" w:eastAsiaTheme="minorEastAsia"/>
          <w:b/>
          <w:bCs/>
          <w:color w:val="000000" w:themeColor="text1"/>
          <w14:textFill>
            <w14:solidFill>
              <w14:schemeClr w14:val="tx1"/>
            </w14:solidFill>
          </w14:textFill>
        </w:rPr>
      </w:pPr>
    </w:p>
    <w:p>
      <w:pPr>
        <w:spacing w:line="300" w:lineRule="auto"/>
        <w:jc w:val="center"/>
        <w:rPr>
          <w:rFonts w:cs="宋体" w:asciiTheme="minorEastAsia" w:hAnsiTheme="minorEastAsia" w:eastAsiaTheme="minorEastAsia"/>
          <w:b/>
          <w:bCs/>
          <w:color w:val="000000" w:themeColor="text1"/>
          <w:sz w:val="44"/>
          <w:szCs w:val="44"/>
          <w14:textFill>
            <w14:solidFill>
              <w14:schemeClr w14:val="tx1"/>
            </w14:solidFill>
          </w14:textFill>
        </w:rPr>
      </w:pPr>
      <w:bookmarkStart w:id="0" w:name="_Hlk25597104"/>
      <w:r>
        <w:rPr>
          <w:rFonts w:hint="eastAsia" w:asciiTheme="minorEastAsia" w:hAnsiTheme="minorEastAsia" w:eastAsiaTheme="minorEastAsia"/>
          <w:b/>
          <w:bCs/>
          <w:color w:val="000000" w:themeColor="text1"/>
          <w:sz w:val="44"/>
          <w:szCs w:val="44"/>
          <w14:textFill>
            <w14:solidFill>
              <w14:schemeClr w14:val="tx1"/>
            </w14:solidFill>
          </w14:textFill>
        </w:rPr>
        <w:t>湖北工程职业学院供热工程（锅炉房）项目</w:t>
      </w:r>
    </w:p>
    <w:bookmarkEnd w:id="0"/>
    <w:p>
      <w:pPr>
        <w:spacing w:line="300" w:lineRule="auto"/>
        <w:jc w:val="center"/>
        <w:rPr>
          <w:rFonts w:asciiTheme="minorEastAsia" w:hAnsiTheme="minorEastAsia" w:eastAsiaTheme="minorEastAsia"/>
          <w:b/>
          <w:bCs/>
          <w:color w:val="000000" w:themeColor="text1"/>
          <w:sz w:val="48"/>
          <w:szCs w:val="48"/>
          <w14:textFill>
            <w14:solidFill>
              <w14:schemeClr w14:val="tx1"/>
            </w14:solidFill>
          </w14:textFill>
        </w:rPr>
      </w:pPr>
      <w:r>
        <w:rPr>
          <w:rFonts w:hint="eastAsia" w:asciiTheme="minorEastAsia" w:hAnsiTheme="minorEastAsia" w:eastAsiaTheme="minorEastAsia"/>
          <w:b/>
          <w:bCs/>
          <w:color w:val="000000" w:themeColor="text1"/>
          <w:sz w:val="44"/>
          <w:szCs w:val="44"/>
          <w:u w:val="single"/>
          <w14:textFill>
            <w14:solidFill>
              <w14:schemeClr w14:val="tx1"/>
            </w14:solidFill>
          </w14:textFill>
        </w:rPr>
        <w:t>锅炉附属设备</w:t>
      </w:r>
      <w:r>
        <w:rPr>
          <w:rFonts w:hint="eastAsia" w:asciiTheme="minorEastAsia" w:hAnsiTheme="minorEastAsia" w:eastAsiaTheme="minorEastAsia"/>
          <w:b/>
          <w:bCs/>
          <w:color w:val="000000" w:themeColor="text1"/>
          <w:sz w:val="44"/>
          <w:szCs w:val="44"/>
          <w:u w:val="single"/>
          <w:lang w:val="en-US" w:eastAsia="zh-CN"/>
          <w14:textFill>
            <w14:solidFill>
              <w14:schemeClr w14:val="tx1"/>
            </w14:solidFill>
          </w14:textFill>
        </w:rPr>
        <w:t>二次</w:t>
      </w:r>
      <w:r>
        <w:rPr>
          <w:rFonts w:hint="eastAsia" w:asciiTheme="minorEastAsia" w:hAnsiTheme="minorEastAsia" w:eastAsiaTheme="minorEastAsia"/>
          <w:b/>
          <w:bCs/>
          <w:color w:val="000000" w:themeColor="text1"/>
          <w:sz w:val="44"/>
          <w:szCs w:val="44"/>
          <w14:textFill>
            <w14:solidFill>
              <w14:schemeClr w14:val="tx1"/>
            </w14:solidFill>
          </w14:textFill>
        </w:rPr>
        <w:t>采购</w:t>
      </w:r>
      <w:bookmarkStart w:id="1" w:name="_Toc12635"/>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r>
        <w:rPr>
          <w:rFonts w:hint="eastAsia" w:asciiTheme="minorEastAsia" w:hAnsiTheme="minorEastAsia" w:eastAsiaTheme="minorEastAsia"/>
          <w:b/>
          <w:bCs/>
          <w:color w:val="000000" w:themeColor="text1"/>
          <w:sz w:val="44"/>
          <w:szCs w:val="44"/>
          <w14:textFill>
            <w14:solidFill>
              <w14:schemeClr w14:val="tx1"/>
            </w14:solidFill>
          </w14:textFill>
        </w:rPr>
        <w:t>招</w:t>
      </w: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r>
        <w:rPr>
          <w:rFonts w:hint="eastAsia" w:asciiTheme="minorEastAsia" w:hAnsiTheme="minorEastAsia" w:eastAsiaTheme="minorEastAsia"/>
          <w:b/>
          <w:bCs/>
          <w:color w:val="000000" w:themeColor="text1"/>
          <w:sz w:val="44"/>
          <w:szCs w:val="44"/>
          <w14:textFill>
            <w14:solidFill>
              <w14:schemeClr w14:val="tx1"/>
            </w14:solidFill>
          </w14:textFill>
        </w:rPr>
        <w:t>标</w:t>
      </w: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r>
        <w:rPr>
          <w:rFonts w:hint="eastAsia" w:asciiTheme="minorEastAsia" w:hAnsiTheme="minorEastAsia" w:eastAsiaTheme="minorEastAsia"/>
          <w:b/>
          <w:bCs/>
          <w:color w:val="000000" w:themeColor="text1"/>
          <w:sz w:val="44"/>
          <w:szCs w:val="44"/>
          <w14:textFill>
            <w14:solidFill>
              <w14:schemeClr w14:val="tx1"/>
            </w14:solidFill>
          </w14:textFill>
        </w:rPr>
        <w:t>文</w:t>
      </w: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cs="宋体" w:asciiTheme="minorEastAsia" w:hAnsiTheme="minorEastAsia" w:eastAsiaTheme="minorEastAsia"/>
          <w:b/>
          <w:bCs/>
          <w:color w:val="000000" w:themeColor="text1"/>
          <w:sz w:val="44"/>
          <w:szCs w:val="44"/>
          <w14:textFill>
            <w14:solidFill>
              <w14:schemeClr w14:val="tx1"/>
            </w14:solidFill>
          </w14:textFill>
        </w:rPr>
      </w:pPr>
      <w:r>
        <w:rPr>
          <w:rFonts w:hint="eastAsia" w:asciiTheme="minorEastAsia" w:hAnsiTheme="minorEastAsia" w:eastAsiaTheme="minorEastAsia"/>
          <w:b/>
          <w:bCs/>
          <w:color w:val="000000" w:themeColor="text1"/>
          <w:sz w:val="44"/>
          <w:szCs w:val="44"/>
          <w14:textFill>
            <w14:solidFill>
              <w14:schemeClr w14:val="tx1"/>
            </w14:solidFill>
          </w14:textFill>
        </w:rPr>
        <w:t>件</w:t>
      </w:r>
      <w:bookmarkEnd w:id="1"/>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b/>
          <w:bCs/>
          <w:color w:val="000000" w:themeColor="text1"/>
          <w:sz w:val="28"/>
          <w:szCs w:val="28"/>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before="7" w:line="300" w:lineRule="auto"/>
        <w:ind w:firstLine="1405" w:firstLineChars="500"/>
        <w:rPr>
          <w:rFonts w:cs="宋体"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 xml:space="preserve">         </w:t>
      </w: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b/>
          <w:bCs/>
          <w:color w:val="000000" w:themeColor="text1"/>
          <w:sz w:val="28"/>
          <w:szCs w:val="28"/>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b/>
          <w:bCs/>
          <w:color w:val="000000" w:themeColor="text1"/>
          <w:sz w:val="28"/>
          <w:szCs w:val="28"/>
          <w14:textFill>
            <w14:solidFill>
              <w14:schemeClr w14:val="tx1"/>
            </w14:solidFill>
          </w14:textFill>
        </w:rPr>
      </w:pPr>
    </w:p>
    <w:p>
      <w:pPr>
        <w:spacing w:line="300" w:lineRule="auto"/>
        <w:rPr>
          <w:rFonts w:asciiTheme="minorEastAsia" w:hAnsiTheme="minorEastAsia" w:eastAsiaTheme="minorEastAsia"/>
          <w:color w:val="000000" w:themeColor="text1"/>
          <w14:textFill>
            <w14:solidFill>
              <w14:schemeClr w14:val="tx1"/>
            </w14:solidFill>
          </w14:textFill>
        </w:rPr>
      </w:pPr>
    </w:p>
    <w:p>
      <w:pPr>
        <w:spacing w:line="300" w:lineRule="auto"/>
        <w:ind w:firstLine="2249" w:firstLineChars="700"/>
        <w:rPr>
          <w:rFonts w:asciiTheme="minorEastAsia" w:hAnsiTheme="minorEastAsia" w:eastAsiaTheme="minorEastAsia"/>
          <w:b/>
          <w:bCs/>
          <w:color w:val="000000" w:themeColor="text1"/>
          <w:sz w:val="32"/>
          <w:szCs w:val="32"/>
          <w14:textFill>
            <w14:solidFill>
              <w14:schemeClr w14:val="tx1"/>
            </w14:solidFill>
          </w14:textFill>
        </w:rPr>
      </w:pPr>
      <w:bookmarkStart w:id="2" w:name="_Toc1968"/>
      <w:r>
        <w:rPr>
          <w:rFonts w:asciiTheme="minorEastAsia" w:hAnsiTheme="minorEastAsia" w:eastAsiaTheme="minorEastAsia"/>
          <w:b/>
          <w:bCs/>
          <w:color w:val="000000" w:themeColor="text1"/>
          <w:sz w:val="32"/>
          <w:szCs w:val="32"/>
          <w14:textFill>
            <w14:solidFill>
              <w14:schemeClr w14:val="tx1"/>
            </w14:solidFill>
          </w14:textFill>
        </w:rPr>
        <w:t>招</w:t>
      </w:r>
      <w:r>
        <w:rPr>
          <w:rFonts w:hint="eastAsia" w:asciiTheme="minorEastAsia" w:hAnsiTheme="minorEastAsia" w:eastAsiaTheme="minorEastAsia"/>
          <w:b/>
          <w:bCs/>
          <w:color w:val="000000" w:themeColor="text1"/>
          <w:sz w:val="32"/>
          <w:szCs w:val="32"/>
          <w14:textFill>
            <w14:solidFill>
              <w14:schemeClr w14:val="tx1"/>
            </w14:solidFill>
          </w14:textFill>
        </w:rPr>
        <w:t xml:space="preserve"> </w:t>
      </w:r>
      <w:r>
        <w:rPr>
          <w:rFonts w:asciiTheme="minorEastAsia" w:hAnsiTheme="minorEastAsia" w:eastAsiaTheme="minorEastAsia"/>
          <w:b/>
          <w:bCs/>
          <w:color w:val="000000" w:themeColor="text1"/>
          <w:sz w:val="32"/>
          <w:szCs w:val="32"/>
          <w14:textFill>
            <w14:solidFill>
              <w14:schemeClr w14:val="tx1"/>
            </w14:solidFill>
          </w14:textFill>
        </w:rPr>
        <w:t>标</w:t>
      </w:r>
      <w:r>
        <w:rPr>
          <w:rFonts w:hint="eastAsia" w:asciiTheme="minorEastAsia" w:hAnsiTheme="minorEastAsia" w:eastAsiaTheme="minorEastAsia"/>
          <w:b/>
          <w:bCs/>
          <w:color w:val="000000" w:themeColor="text1"/>
          <w:sz w:val="32"/>
          <w:szCs w:val="32"/>
          <w14:textFill>
            <w14:solidFill>
              <w14:schemeClr w14:val="tx1"/>
            </w14:solidFill>
          </w14:textFill>
        </w:rPr>
        <w:t xml:space="preserve"> </w:t>
      </w:r>
      <w:r>
        <w:rPr>
          <w:rFonts w:asciiTheme="minorEastAsia" w:hAnsiTheme="minorEastAsia" w:eastAsiaTheme="minorEastAsia"/>
          <w:b/>
          <w:bCs/>
          <w:color w:val="000000" w:themeColor="text1"/>
          <w:sz w:val="32"/>
          <w:szCs w:val="32"/>
          <w14:textFill>
            <w14:solidFill>
              <w14:schemeClr w14:val="tx1"/>
            </w14:solidFill>
          </w14:textFill>
        </w:rPr>
        <w:t>人</w:t>
      </w:r>
      <w:r>
        <w:rPr>
          <w:rFonts w:hint="eastAsia" w:asciiTheme="minorEastAsia" w:hAnsiTheme="minorEastAsia" w:eastAsiaTheme="minorEastAsia"/>
          <w:b/>
          <w:bCs/>
          <w:color w:val="000000" w:themeColor="text1"/>
          <w:sz w:val="32"/>
          <w:szCs w:val="32"/>
          <w14:textFill>
            <w14:solidFill>
              <w14:schemeClr w14:val="tx1"/>
            </w14:solidFill>
          </w14:textFill>
        </w:rPr>
        <w:t>：</w:t>
      </w:r>
      <w:bookmarkEnd w:id="2"/>
      <w:r>
        <w:rPr>
          <w:rFonts w:hint="eastAsia" w:asciiTheme="minorEastAsia" w:hAnsiTheme="minorEastAsia" w:eastAsiaTheme="minorEastAsia"/>
          <w:b/>
          <w:bCs/>
          <w:color w:val="000000" w:themeColor="text1"/>
          <w:sz w:val="32"/>
          <w:szCs w:val="32"/>
          <w14:textFill>
            <w14:solidFill>
              <w14:schemeClr w14:val="tx1"/>
            </w14:solidFill>
          </w14:textFill>
        </w:rPr>
        <w:t>黄石市城发建设有限公司</w:t>
      </w:r>
    </w:p>
    <w:p>
      <w:pPr>
        <w:spacing w:line="300" w:lineRule="auto"/>
        <w:rPr>
          <w:rFonts w:cs="宋体" w:asciiTheme="minorEastAsia" w:hAnsiTheme="minorEastAsia" w:eastAsiaTheme="minorEastAsia"/>
          <w:b/>
          <w:bCs/>
          <w:color w:val="000000" w:themeColor="text1"/>
          <w:sz w:val="32"/>
          <w:szCs w:val="32"/>
          <w14:textFill>
            <w14:solidFill>
              <w14:schemeClr w14:val="tx1"/>
            </w14:solidFill>
          </w14:textFill>
        </w:rPr>
      </w:pPr>
      <w:bookmarkStart w:id="3" w:name="_Toc24529"/>
    </w:p>
    <w:bookmarkEnd w:id="3"/>
    <w:p>
      <w:pPr>
        <w:spacing w:line="300" w:lineRule="auto"/>
        <w:ind w:firstLine="2249" w:firstLineChars="700"/>
        <w:rPr>
          <w:rFonts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b/>
          <w:bCs/>
          <w:color w:val="000000" w:themeColor="text1"/>
          <w:sz w:val="32"/>
          <w:szCs w:val="32"/>
          <w14:textFill>
            <w14:solidFill>
              <w14:schemeClr w14:val="tx1"/>
            </w14:solidFill>
          </w14:textFill>
        </w:rPr>
        <w:t>招标</w:t>
      </w:r>
      <w:r>
        <w:rPr>
          <w:rFonts w:asciiTheme="minorEastAsia" w:hAnsiTheme="minorEastAsia" w:eastAsiaTheme="minorEastAsia"/>
          <w:b/>
          <w:bCs/>
          <w:color w:val="000000" w:themeColor="text1"/>
          <w:sz w:val="32"/>
          <w:szCs w:val="32"/>
          <w14:textFill>
            <w14:solidFill>
              <w14:schemeClr w14:val="tx1"/>
            </w14:solidFill>
          </w14:textFill>
        </w:rPr>
        <w:t>编号：</w:t>
      </w:r>
      <w:r>
        <w:rPr>
          <w:rFonts w:hint="eastAsia" w:asciiTheme="minorEastAsia" w:hAnsiTheme="minorEastAsia" w:eastAsiaTheme="minorEastAsia"/>
          <w:b/>
          <w:bCs/>
          <w:color w:val="000000" w:themeColor="text1"/>
          <w:sz w:val="32"/>
          <w:szCs w:val="32"/>
          <w14:textFill>
            <w14:solidFill>
              <w14:schemeClr w14:val="tx1"/>
            </w14:solidFill>
          </w14:textFill>
        </w:rPr>
        <w:t>CFJS</w:t>
      </w:r>
      <w:r>
        <w:rPr>
          <w:rFonts w:asciiTheme="minorEastAsia" w:hAnsiTheme="minorEastAsia" w:eastAsiaTheme="minorEastAsia"/>
          <w:b/>
          <w:bCs/>
          <w:color w:val="000000" w:themeColor="text1"/>
          <w:sz w:val="32"/>
          <w:szCs w:val="32"/>
          <w14:textFill>
            <w14:solidFill>
              <w14:schemeClr w14:val="tx1"/>
            </w14:solidFill>
          </w14:textFill>
        </w:rPr>
        <w:t>-2021-</w:t>
      </w:r>
      <w:r>
        <w:rPr>
          <w:rFonts w:hint="eastAsia" w:asciiTheme="minorEastAsia" w:hAnsiTheme="minorEastAsia" w:eastAsiaTheme="minorEastAsia"/>
          <w:b/>
          <w:bCs/>
          <w:color w:val="000000" w:themeColor="text1"/>
          <w:sz w:val="32"/>
          <w:szCs w:val="32"/>
          <w14:textFill>
            <w14:solidFill>
              <w14:schemeClr w14:val="tx1"/>
            </w14:solidFill>
          </w14:textFill>
        </w:rPr>
        <w:t>001</w:t>
      </w:r>
      <w:r>
        <w:rPr>
          <w:rFonts w:asciiTheme="minorEastAsia" w:hAnsiTheme="minorEastAsia" w:eastAsiaTheme="minorEastAsia"/>
          <w:b/>
          <w:bCs/>
          <w:color w:val="000000" w:themeColor="text1"/>
          <w:sz w:val="32"/>
          <w:szCs w:val="32"/>
          <w14:textFill>
            <w14:solidFill>
              <w14:schemeClr w14:val="tx1"/>
            </w14:solidFill>
          </w14:textFill>
        </w:rPr>
        <w:t>-</w:t>
      </w:r>
      <w:r>
        <w:rPr>
          <w:rFonts w:hint="eastAsia" w:asciiTheme="minorEastAsia" w:hAnsiTheme="minorEastAsia" w:eastAsiaTheme="minorEastAsia"/>
          <w:b/>
          <w:bCs/>
          <w:color w:val="000000" w:themeColor="text1"/>
          <w:sz w:val="32"/>
          <w:szCs w:val="32"/>
          <w14:textFill>
            <w14:solidFill>
              <w14:schemeClr w14:val="tx1"/>
            </w14:solidFill>
          </w14:textFill>
        </w:rPr>
        <w:t>SB</w:t>
      </w:r>
    </w:p>
    <w:p>
      <w:pPr>
        <w:spacing w:line="300" w:lineRule="auto"/>
        <w:rPr>
          <w:rFonts w:asciiTheme="minorEastAsia" w:hAnsiTheme="minorEastAsia" w:eastAsiaTheme="minorEastAsia"/>
          <w:b/>
          <w:bCs/>
          <w:color w:val="000000" w:themeColor="text1"/>
          <w:sz w:val="32"/>
          <w:szCs w:val="32"/>
          <w14:textFill>
            <w14:solidFill>
              <w14:schemeClr w14:val="tx1"/>
            </w14:solidFill>
          </w14:textFill>
        </w:rPr>
      </w:pPr>
    </w:p>
    <w:p>
      <w:pPr>
        <w:spacing w:line="300" w:lineRule="auto"/>
        <w:ind w:firstLine="2249" w:firstLineChars="700"/>
        <w:rPr>
          <w:rFonts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b/>
          <w:bCs/>
          <w:color w:val="000000" w:themeColor="text1"/>
          <w:sz w:val="32"/>
          <w:szCs w:val="32"/>
          <w14:textFill>
            <w14:solidFill>
              <w14:schemeClr w14:val="tx1"/>
            </w14:solidFill>
          </w14:textFill>
        </w:rPr>
        <w:t>日    期：202</w:t>
      </w:r>
      <w:r>
        <w:rPr>
          <w:rFonts w:asciiTheme="minorEastAsia" w:hAnsiTheme="minorEastAsia" w:eastAsiaTheme="minorEastAsia"/>
          <w:b/>
          <w:bCs/>
          <w:color w:val="000000" w:themeColor="text1"/>
          <w:sz w:val="32"/>
          <w:szCs w:val="32"/>
          <w14:textFill>
            <w14:solidFill>
              <w14:schemeClr w14:val="tx1"/>
            </w14:solidFill>
          </w14:textFill>
        </w:rPr>
        <w:t>1</w:t>
      </w:r>
      <w:r>
        <w:rPr>
          <w:rFonts w:hint="eastAsia" w:asciiTheme="minorEastAsia" w:hAnsiTheme="minorEastAsia" w:eastAsiaTheme="minorEastAsia"/>
          <w:b/>
          <w:bCs/>
          <w:color w:val="000000" w:themeColor="text1"/>
          <w:sz w:val="32"/>
          <w:szCs w:val="32"/>
          <w14:textFill>
            <w14:solidFill>
              <w14:schemeClr w14:val="tx1"/>
            </w14:solidFill>
          </w14:textFill>
        </w:rPr>
        <w:t xml:space="preserve">年 11 月 </w:t>
      </w:r>
      <w:r>
        <w:rPr>
          <w:rFonts w:hint="eastAsia" w:asciiTheme="minorEastAsia" w:hAnsiTheme="minorEastAsia" w:eastAsiaTheme="minorEastAsia"/>
          <w:b/>
          <w:bCs/>
          <w:color w:val="000000" w:themeColor="text1"/>
          <w:sz w:val="32"/>
          <w:szCs w:val="32"/>
          <w:lang w:val="en-US" w:eastAsia="zh-CN"/>
          <w14:textFill>
            <w14:solidFill>
              <w14:schemeClr w14:val="tx1"/>
            </w14:solidFill>
          </w14:textFill>
        </w:rPr>
        <w:t>18</w:t>
      </w:r>
      <w:bookmarkStart w:id="346" w:name="_GoBack"/>
      <w:bookmarkEnd w:id="346"/>
      <w:r>
        <w:rPr>
          <w:rFonts w:hint="eastAsia" w:asciiTheme="minorEastAsia" w:hAnsiTheme="minorEastAsia" w:eastAsiaTheme="minorEastAsia"/>
          <w:b/>
          <w:bCs/>
          <w:color w:val="000000" w:themeColor="text1"/>
          <w:sz w:val="32"/>
          <w:szCs w:val="32"/>
          <w14:textFill>
            <w14:solidFill>
              <w14:schemeClr w14:val="tx1"/>
            </w14:solidFill>
          </w14:textFill>
        </w:rPr>
        <w:t>日</w:t>
      </w:r>
    </w:p>
    <w:p>
      <w:pPr>
        <w:spacing w:line="300" w:lineRule="auto"/>
        <w:rPr>
          <w:rFonts w:asciiTheme="minorEastAsia" w:hAnsiTheme="minorEastAsia" w:eastAsiaTheme="minorEastAsia"/>
          <w:b/>
          <w:bCs/>
          <w:color w:val="000000" w:themeColor="text1"/>
          <w:sz w:val="32"/>
          <w:szCs w:val="32"/>
          <w14:textFill>
            <w14:solidFill>
              <w14:schemeClr w14:val="tx1"/>
            </w14:solidFill>
          </w14:textFill>
        </w:rPr>
        <w:sectPr>
          <w:headerReference r:id="rId3" w:type="default"/>
          <w:footerReference r:id="rId4" w:type="default"/>
          <w:endnotePr>
            <w:numFmt w:val="decimal"/>
          </w:endnotePr>
          <w:pgSz w:w="12240" w:h="15840"/>
          <w:pgMar w:top="1587" w:right="1417" w:bottom="1587" w:left="1417" w:header="850" w:footer="567" w:gutter="0"/>
          <w:cols w:space="0" w:num="1"/>
          <w:docGrid w:linePitch="299" w:charSpace="0"/>
        </w:sectPr>
      </w:pPr>
    </w:p>
    <w:sdt>
      <w:sdtPr>
        <w:rPr>
          <w:rFonts w:ascii="Calibri" w:hAnsi="Calibri" w:eastAsia="宋体" w:cs="Times New Roman"/>
          <w:color w:val="auto"/>
          <w:sz w:val="24"/>
          <w:szCs w:val="22"/>
          <w:lang w:val="zh-CN"/>
        </w:rPr>
        <w:id w:val="137610841"/>
        <w:docPartObj>
          <w:docPartGallery w:val="Table of Contents"/>
          <w:docPartUnique/>
        </w:docPartObj>
      </w:sdtPr>
      <w:sdtEndPr>
        <w:rPr>
          <w:rFonts w:ascii="Calibri" w:hAnsi="Calibri" w:eastAsia="宋体" w:cs="Times New Roman"/>
          <w:b/>
          <w:bCs/>
          <w:color w:val="auto"/>
          <w:sz w:val="24"/>
          <w:szCs w:val="22"/>
          <w:lang w:val="zh-CN"/>
        </w:rPr>
      </w:sdtEndPr>
      <w:sdtContent>
        <w:p>
          <w:pPr>
            <w:pStyle w:val="85"/>
            <w:spacing w:line="300" w:lineRule="auto"/>
            <w:jc w:val="center"/>
          </w:pPr>
          <w:bookmarkStart w:id="4" w:name="_Toc2326"/>
          <w:bookmarkStart w:id="5" w:name="_Toc137"/>
          <w:bookmarkStart w:id="6" w:name="_Toc66277839"/>
          <w:bookmarkStart w:id="7" w:name="_Toc1081"/>
          <w:bookmarkStart w:id="8" w:name="_Toc10659"/>
          <w:bookmarkStart w:id="9" w:name="_Toc13594"/>
          <w:bookmarkStart w:id="10" w:name="_Toc70345007"/>
          <w:bookmarkStart w:id="11" w:name="_Toc26907"/>
          <w:r>
            <w:rPr>
              <w:rFonts w:hint="eastAsia"/>
            </w:rPr>
            <w:t>目</w:t>
          </w:r>
          <w:r>
            <w:rPr>
              <w:lang w:val="zh-CN"/>
            </w:rPr>
            <w:t>录</w:t>
          </w:r>
        </w:p>
        <w:p>
          <w:pPr>
            <w:pStyle w:val="22"/>
            <w:tabs>
              <w:tab w:val="right" w:leader="dot" w:pos="9406"/>
            </w:tabs>
          </w:pPr>
          <w:r>
            <w:fldChar w:fldCharType="begin"/>
          </w:r>
          <w:r>
            <w:instrText xml:space="preserve"> TOC \o "1-2" \h \z \u </w:instrText>
          </w:r>
          <w:r>
            <w:fldChar w:fldCharType="separate"/>
          </w:r>
          <w:r>
            <w:fldChar w:fldCharType="begin"/>
          </w:r>
          <w:r>
            <w:instrText xml:space="preserve"> HYPERLINK \l "_Toc31418" </w:instrText>
          </w:r>
          <w:r>
            <w:fldChar w:fldCharType="separate"/>
          </w:r>
          <w:r>
            <w:t>第</w:t>
          </w:r>
          <w:r>
            <w:rPr>
              <w:rFonts w:hint="eastAsia"/>
            </w:rPr>
            <w:t>一</w:t>
          </w:r>
          <w:r>
            <w:t>章</w:t>
          </w:r>
          <w:r>
            <w:rPr>
              <w:rFonts w:hint="eastAsia"/>
            </w:rPr>
            <w:t xml:space="preserve"> </w:t>
          </w:r>
          <w:r>
            <w:t>招标公告</w:t>
          </w:r>
          <w:r>
            <w:tab/>
          </w:r>
          <w:r>
            <w:fldChar w:fldCharType="begin"/>
          </w:r>
          <w:r>
            <w:instrText xml:space="preserve"> PAGEREF _Toc31418 </w:instrText>
          </w:r>
          <w:r>
            <w:fldChar w:fldCharType="separate"/>
          </w:r>
          <w:r>
            <w:t>5</w:t>
          </w:r>
          <w:r>
            <w:fldChar w:fldCharType="end"/>
          </w:r>
          <w:r>
            <w:fldChar w:fldCharType="end"/>
          </w:r>
        </w:p>
        <w:p>
          <w:pPr>
            <w:pStyle w:val="26"/>
            <w:tabs>
              <w:tab w:val="right" w:leader="dot" w:pos="9406"/>
            </w:tabs>
          </w:pPr>
          <w:r>
            <w:fldChar w:fldCharType="begin"/>
          </w:r>
          <w:r>
            <w:instrText xml:space="preserve"> HYPERLINK \l "_Toc19112" </w:instrText>
          </w:r>
          <w:r>
            <w:fldChar w:fldCharType="separate"/>
          </w:r>
          <w:r>
            <w:t>1.</w:t>
          </w:r>
          <w:r>
            <w:rPr>
              <w:rFonts w:hint="eastAsia"/>
            </w:rPr>
            <w:t>招标条件</w:t>
          </w:r>
          <w:r>
            <w:tab/>
          </w:r>
          <w:r>
            <w:fldChar w:fldCharType="begin"/>
          </w:r>
          <w:r>
            <w:instrText xml:space="preserve"> PAGEREF _Toc19112 </w:instrText>
          </w:r>
          <w:r>
            <w:fldChar w:fldCharType="separate"/>
          </w:r>
          <w:r>
            <w:t>5</w:t>
          </w:r>
          <w:r>
            <w:fldChar w:fldCharType="end"/>
          </w:r>
          <w:r>
            <w:fldChar w:fldCharType="end"/>
          </w:r>
        </w:p>
        <w:p>
          <w:pPr>
            <w:pStyle w:val="26"/>
            <w:tabs>
              <w:tab w:val="right" w:leader="dot" w:pos="9406"/>
            </w:tabs>
          </w:pPr>
          <w:r>
            <w:fldChar w:fldCharType="begin"/>
          </w:r>
          <w:r>
            <w:instrText xml:space="preserve"> HYPERLINK \l "_Toc6067" </w:instrText>
          </w:r>
          <w:r>
            <w:fldChar w:fldCharType="separate"/>
          </w:r>
          <w:r>
            <w:rPr>
              <w:rFonts w:hint="eastAsia"/>
            </w:rPr>
            <w:t>2</w:t>
          </w:r>
          <w:r>
            <w:t>.</w:t>
          </w:r>
          <w:r>
            <w:rPr>
              <w:rFonts w:hint="eastAsia"/>
            </w:rPr>
            <w:t>项目概况</w:t>
          </w:r>
          <w:r>
            <w:tab/>
          </w:r>
          <w:r>
            <w:fldChar w:fldCharType="begin"/>
          </w:r>
          <w:r>
            <w:instrText xml:space="preserve"> PAGEREF _Toc6067 </w:instrText>
          </w:r>
          <w:r>
            <w:fldChar w:fldCharType="separate"/>
          </w:r>
          <w:r>
            <w:t>5</w:t>
          </w:r>
          <w:r>
            <w:fldChar w:fldCharType="end"/>
          </w:r>
          <w:r>
            <w:fldChar w:fldCharType="end"/>
          </w:r>
        </w:p>
        <w:p>
          <w:pPr>
            <w:pStyle w:val="26"/>
            <w:tabs>
              <w:tab w:val="right" w:leader="dot" w:pos="9406"/>
            </w:tabs>
          </w:pPr>
          <w:r>
            <w:fldChar w:fldCharType="begin"/>
          </w:r>
          <w:r>
            <w:instrText xml:space="preserve"> HYPERLINK \l "_Toc16319" </w:instrText>
          </w:r>
          <w:r>
            <w:fldChar w:fldCharType="separate"/>
          </w:r>
          <w:r>
            <w:rPr>
              <w:rFonts w:hint="eastAsia"/>
            </w:rPr>
            <w:t>3</w:t>
          </w:r>
          <w:r>
            <w:t>.</w:t>
          </w:r>
          <w:r>
            <w:rPr>
              <w:rFonts w:hint="eastAsia"/>
            </w:rPr>
            <w:t>招标范围</w:t>
          </w:r>
          <w:r>
            <w:tab/>
          </w:r>
          <w:r>
            <w:fldChar w:fldCharType="begin"/>
          </w:r>
          <w:r>
            <w:instrText xml:space="preserve"> PAGEREF _Toc16319 </w:instrText>
          </w:r>
          <w:r>
            <w:fldChar w:fldCharType="separate"/>
          </w:r>
          <w:r>
            <w:t>5</w:t>
          </w:r>
          <w:r>
            <w:fldChar w:fldCharType="end"/>
          </w:r>
          <w:r>
            <w:fldChar w:fldCharType="end"/>
          </w:r>
        </w:p>
        <w:p>
          <w:pPr>
            <w:pStyle w:val="26"/>
            <w:tabs>
              <w:tab w:val="right" w:leader="dot" w:pos="9406"/>
            </w:tabs>
          </w:pPr>
          <w:r>
            <w:fldChar w:fldCharType="begin"/>
          </w:r>
          <w:r>
            <w:instrText xml:space="preserve"> HYPERLINK \l "_Toc2302" </w:instrText>
          </w:r>
          <w:r>
            <w:fldChar w:fldCharType="separate"/>
          </w:r>
          <w:r>
            <w:rPr>
              <w:rFonts w:hint="eastAsia"/>
            </w:rPr>
            <w:t>4.投标人资格要求</w:t>
          </w:r>
          <w:r>
            <w:tab/>
          </w:r>
          <w:r>
            <w:fldChar w:fldCharType="begin"/>
          </w:r>
          <w:r>
            <w:instrText xml:space="preserve"> PAGEREF _Toc2302 </w:instrText>
          </w:r>
          <w:r>
            <w:fldChar w:fldCharType="separate"/>
          </w:r>
          <w:r>
            <w:t>7</w:t>
          </w:r>
          <w:r>
            <w:fldChar w:fldCharType="end"/>
          </w:r>
          <w:r>
            <w:fldChar w:fldCharType="end"/>
          </w:r>
        </w:p>
        <w:p>
          <w:pPr>
            <w:pStyle w:val="26"/>
            <w:tabs>
              <w:tab w:val="right" w:leader="dot" w:pos="9406"/>
            </w:tabs>
          </w:pPr>
          <w:r>
            <w:fldChar w:fldCharType="begin"/>
          </w:r>
          <w:r>
            <w:instrText xml:space="preserve"> HYPERLINK \l "_Toc23624" </w:instrText>
          </w:r>
          <w:r>
            <w:fldChar w:fldCharType="separate"/>
          </w:r>
          <w:r>
            <w:rPr>
              <w:rFonts w:hint="eastAsia"/>
            </w:rPr>
            <w:t>5</w:t>
          </w:r>
          <w:r>
            <w:t>.</w:t>
          </w:r>
          <w:r>
            <w:rPr>
              <w:rFonts w:hint="eastAsia"/>
            </w:rPr>
            <w:t>招标文件的获取</w:t>
          </w:r>
          <w:r>
            <w:tab/>
          </w:r>
          <w:r>
            <w:fldChar w:fldCharType="begin"/>
          </w:r>
          <w:r>
            <w:instrText xml:space="preserve"> PAGEREF _Toc23624 </w:instrText>
          </w:r>
          <w:r>
            <w:fldChar w:fldCharType="separate"/>
          </w:r>
          <w:r>
            <w:t>8</w:t>
          </w:r>
          <w:r>
            <w:fldChar w:fldCharType="end"/>
          </w:r>
          <w:r>
            <w:fldChar w:fldCharType="end"/>
          </w:r>
        </w:p>
        <w:p>
          <w:pPr>
            <w:pStyle w:val="26"/>
            <w:tabs>
              <w:tab w:val="right" w:leader="dot" w:pos="9406"/>
            </w:tabs>
          </w:pPr>
          <w:r>
            <w:fldChar w:fldCharType="begin"/>
          </w:r>
          <w:r>
            <w:instrText xml:space="preserve"> HYPERLINK \l "_Toc15302" </w:instrText>
          </w:r>
          <w:r>
            <w:fldChar w:fldCharType="separate"/>
          </w:r>
          <w:r>
            <w:rPr>
              <w:rFonts w:hint="eastAsia"/>
            </w:rPr>
            <w:t>6</w:t>
          </w:r>
          <w:r>
            <w:t>.</w:t>
          </w:r>
          <w:r>
            <w:rPr>
              <w:rFonts w:hint="eastAsia"/>
            </w:rPr>
            <w:t>投标文件的递交</w:t>
          </w:r>
          <w:r>
            <w:tab/>
          </w:r>
          <w:r>
            <w:fldChar w:fldCharType="begin"/>
          </w:r>
          <w:r>
            <w:instrText xml:space="preserve"> PAGEREF _Toc15302 </w:instrText>
          </w:r>
          <w:r>
            <w:fldChar w:fldCharType="separate"/>
          </w:r>
          <w:r>
            <w:t>8</w:t>
          </w:r>
          <w:r>
            <w:fldChar w:fldCharType="end"/>
          </w:r>
          <w:r>
            <w:fldChar w:fldCharType="end"/>
          </w:r>
        </w:p>
        <w:p>
          <w:pPr>
            <w:pStyle w:val="26"/>
            <w:tabs>
              <w:tab w:val="right" w:leader="dot" w:pos="9406"/>
            </w:tabs>
          </w:pPr>
          <w:r>
            <w:fldChar w:fldCharType="begin"/>
          </w:r>
          <w:r>
            <w:instrText xml:space="preserve"> HYPERLINK \l "_Toc7658" </w:instrText>
          </w:r>
          <w:r>
            <w:fldChar w:fldCharType="separate"/>
          </w:r>
          <w:r>
            <w:rPr>
              <w:rFonts w:hint="eastAsia"/>
            </w:rPr>
            <w:t>7</w:t>
          </w:r>
          <w:r>
            <w:t>.</w:t>
          </w:r>
          <w:r>
            <w:rPr>
              <w:rFonts w:hint="eastAsia"/>
            </w:rPr>
            <w:t>开标时间</w:t>
          </w:r>
          <w:r>
            <w:tab/>
          </w:r>
          <w:r>
            <w:fldChar w:fldCharType="begin"/>
          </w:r>
          <w:r>
            <w:instrText xml:space="preserve"> PAGEREF _Toc7658 </w:instrText>
          </w:r>
          <w:r>
            <w:fldChar w:fldCharType="separate"/>
          </w:r>
          <w:r>
            <w:t>8</w:t>
          </w:r>
          <w:r>
            <w:fldChar w:fldCharType="end"/>
          </w:r>
          <w:r>
            <w:fldChar w:fldCharType="end"/>
          </w:r>
        </w:p>
        <w:p>
          <w:pPr>
            <w:pStyle w:val="26"/>
            <w:tabs>
              <w:tab w:val="right" w:leader="dot" w:pos="9406"/>
            </w:tabs>
          </w:pPr>
          <w:r>
            <w:fldChar w:fldCharType="begin"/>
          </w:r>
          <w:r>
            <w:instrText xml:space="preserve"> HYPERLINK \l "_Toc25732" </w:instrText>
          </w:r>
          <w:r>
            <w:fldChar w:fldCharType="separate"/>
          </w:r>
          <w:r>
            <w:rPr>
              <w:rFonts w:hint="eastAsia"/>
            </w:rPr>
            <w:t>8.联系方式</w:t>
          </w:r>
          <w:r>
            <w:tab/>
          </w:r>
          <w:r>
            <w:fldChar w:fldCharType="begin"/>
          </w:r>
          <w:r>
            <w:instrText xml:space="preserve"> PAGEREF _Toc25732 </w:instrText>
          </w:r>
          <w:r>
            <w:fldChar w:fldCharType="separate"/>
          </w:r>
          <w:r>
            <w:t>8</w:t>
          </w:r>
          <w:r>
            <w:fldChar w:fldCharType="end"/>
          </w:r>
          <w:r>
            <w:fldChar w:fldCharType="end"/>
          </w:r>
        </w:p>
        <w:p>
          <w:pPr>
            <w:pStyle w:val="22"/>
            <w:tabs>
              <w:tab w:val="right" w:leader="dot" w:pos="9406"/>
            </w:tabs>
          </w:pPr>
          <w:r>
            <w:fldChar w:fldCharType="begin"/>
          </w:r>
          <w:r>
            <w:instrText xml:space="preserve"> HYPERLINK \l "_Toc20831" </w:instrText>
          </w:r>
          <w:r>
            <w:fldChar w:fldCharType="separate"/>
          </w:r>
          <w:r>
            <w:rPr>
              <w:rFonts w:hint="eastAsia"/>
            </w:rPr>
            <w:t>第二章    投标文件</w:t>
          </w:r>
          <w:r>
            <w:tab/>
          </w:r>
          <w:r>
            <w:fldChar w:fldCharType="begin"/>
          </w:r>
          <w:r>
            <w:instrText xml:space="preserve"> PAGEREF _Toc20831 </w:instrText>
          </w:r>
          <w:r>
            <w:fldChar w:fldCharType="separate"/>
          </w:r>
          <w:r>
            <w:t>10</w:t>
          </w:r>
          <w:r>
            <w:fldChar w:fldCharType="end"/>
          </w:r>
          <w:r>
            <w:fldChar w:fldCharType="end"/>
          </w:r>
        </w:p>
        <w:p>
          <w:pPr>
            <w:pStyle w:val="26"/>
            <w:tabs>
              <w:tab w:val="right" w:leader="dot" w:pos="9406"/>
            </w:tabs>
          </w:pPr>
          <w:r>
            <w:fldChar w:fldCharType="begin"/>
          </w:r>
          <w:r>
            <w:instrText xml:space="preserve"> HYPERLINK \l "_Toc19319" </w:instrText>
          </w:r>
          <w:r>
            <w:fldChar w:fldCharType="separate"/>
          </w:r>
          <w:r>
            <w:rPr>
              <w:rFonts w:hint="eastAsia"/>
            </w:rPr>
            <w:t>1. 投标的语言</w:t>
          </w:r>
          <w:r>
            <w:tab/>
          </w:r>
          <w:r>
            <w:fldChar w:fldCharType="begin"/>
          </w:r>
          <w:r>
            <w:instrText xml:space="preserve"> PAGEREF _Toc19319 </w:instrText>
          </w:r>
          <w:r>
            <w:fldChar w:fldCharType="separate"/>
          </w:r>
          <w:r>
            <w:t>10</w:t>
          </w:r>
          <w:r>
            <w:fldChar w:fldCharType="end"/>
          </w:r>
          <w:r>
            <w:fldChar w:fldCharType="end"/>
          </w:r>
        </w:p>
        <w:p>
          <w:pPr>
            <w:pStyle w:val="26"/>
            <w:tabs>
              <w:tab w:val="right" w:leader="dot" w:pos="9406"/>
            </w:tabs>
          </w:pPr>
          <w:r>
            <w:fldChar w:fldCharType="begin"/>
          </w:r>
          <w:r>
            <w:instrText xml:space="preserve"> HYPERLINK \l "_Toc20517" </w:instrText>
          </w:r>
          <w:r>
            <w:fldChar w:fldCharType="separate"/>
          </w:r>
          <w:r>
            <w:rPr>
              <w:rFonts w:hint="eastAsia"/>
            </w:rPr>
            <w:t>2. 投标文件的构成</w:t>
          </w:r>
          <w:r>
            <w:tab/>
          </w:r>
          <w:r>
            <w:fldChar w:fldCharType="begin"/>
          </w:r>
          <w:r>
            <w:instrText xml:space="preserve"> PAGEREF _Toc20517 </w:instrText>
          </w:r>
          <w:r>
            <w:fldChar w:fldCharType="separate"/>
          </w:r>
          <w:r>
            <w:t>10</w:t>
          </w:r>
          <w:r>
            <w:fldChar w:fldCharType="end"/>
          </w:r>
          <w:r>
            <w:fldChar w:fldCharType="end"/>
          </w:r>
        </w:p>
        <w:p>
          <w:pPr>
            <w:pStyle w:val="26"/>
            <w:tabs>
              <w:tab w:val="right" w:leader="dot" w:pos="9406"/>
            </w:tabs>
          </w:pPr>
          <w:r>
            <w:fldChar w:fldCharType="begin"/>
          </w:r>
          <w:r>
            <w:instrText xml:space="preserve"> HYPERLINK \l "_Toc2665" </w:instrText>
          </w:r>
          <w:r>
            <w:fldChar w:fldCharType="separate"/>
          </w:r>
          <w:r>
            <w:rPr>
              <w:rFonts w:hint="eastAsia"/>
            </w:rPr>
            <w:t>3. 投标文件的编制</w:t>
          </w:r>
          <w:r>
            <w:tab/>
          </w:r>
          <w:r>
            <w:fldChar w:fldCharType="begin"/>
          </w:r>
          <w:r>
            <w:instrText xml:space="preserve"> PAGEREF _Toc2665 </w:instrText>
          </w:r>
          <w:r>
            <w:fldChar w:fldCharType="separate"/>
          </w:r>
          <w:r>
            <w:t>10</w:t>
          </w:r>
          <w:r>
            <w:fldChar w:fldCharType="end"/>
          </w:r>
          <w:r>
            <w:fldChar w:fldCharType="end"/>
          </w:r>
        </w:p>
        <w:p>
          <w:pPr>
            <w:pStyle w:val="26"/>
            <w:tabs>
              <w:tab w:val="right" w:leader="dot" w:pos="9406"/>
            </w:tabs>
          </w:pPr>
          <w:r>
            <w:fldChar w:fldCharType="begin"/>
          </w:r>
          <w:r>
            <w:instrText xml:space="preserve"> HYPERLINK \l "_Toc24360" </w:instrText>
          </w:r>
          <w:r>
            <w:fldChar w:fldCharType="separate"/>
          </w:r>
          <w:r>
            <w:rPr>
              <w:rFonts w:hint="eastAsia"/>
            </w:rPr>
            <w:t>4. 投标报价须知</w:t>
          </w:r>
          <w:r>
            <w:tab/>
          </w:r>
          <w:r>
            <w:fldChar w:fldCharType="begin"/>
          </w:r>
          <w:r>
            <w:instrText xml:space="preserve"> PAGEREF _Toc24360 </w:instrText>
          </w:r>
          <w:r>
            <w:fldChar w:fldCharType="separate"/>
          </w:r>
          <w:r>
            <w:t>11</w:t>
          </w:r>
          <w:r>
            <w:fldChar w:fldCharType="end"/>
          </w:r>
          <w:r>
            <w:fldChar w:fldCharType="end"/>
          </w:r>
        </w:p>
        <w:p>
          <w:pPr>
            <w:pStyle w:val="26"/>
            <w:tabs>
              <w:tab w:val="right" w:leader="dot" w:pos="9406"/>
            </w:tabs>
          </w:pPr>
          <w:r>
            <w:fldChar w:fldCharType="begin"/>
          </w:r>
          <w:r>
            <w:instrText xml:space="preserve"> HYPERLINK \l "_Toc248" </w:instrText>
          </w:r>
          <w:r>
            <w:fldChar w:fldCharType="separate"/>
          </w:r>
          <w:r>
            <w:rPr>
              <w:rFonts w:hint="eastAsia"/>
            </w:rPr>
            <w:t>5. 备选方案</w:t>
          </w:r>
          <w:r>
            <w:tab/>
          </w:r>
          <w:r>
            <w:fldChar w:fldCharType="begin"/>
          </w:r>
          <w:r>
            <w:instrText xml:space="preserve"> PAGEREF _Toc248 </w:instrText>
          </w:r>
          <w:r>
            <w:fldChar w:fldCharType="separate"/>
          </w:r>
          <w:r>
            <w:t>11</w:t>
          </w:r>
          <w:r>
            <w:fldChar w:fldCharType="end"/>
          </w:r>
          <w:r>
            <w:fldChar w:fldCharType="end"/>
          </w:r>
        </w:p>
        <w:p>
          <w:pPr>
            <w:pStyle w:val="26"/>
            <w:tabs>
              <w:tab w:val="right" w:leader="dot" w:pos="9406"/>
            </w:tabs>
          </w:pPr>
          <w:r>
            <w:fldChar w:fldCharType="begin"/>
          </w:r>
          <w:r>
            <w:instrText xml:space="preserve"> HYPERLINK \l "_Toc31564" </w:instrText>
          </w:r>
          <w:r>
            <w:fldChar w:fldCharType="separate"/>
          </w:r>
          <w:r>
            <w:rPr>
              <w:rFonts w:hint="eastAsia"/>
            </w:rPr>
            <w:t>6. 联合体投标</w:t>
          </w:r>
          <w:r>
            <w:tab/>
          </w:r>
          <w:r>
            <w:fldChar w:fldCharType="begin"/>
          </w:r>
          <w:r>
            <w:instrText xml:space="preserve"> PAGEREF _Toc31564 </w:instrText>
          </w:r>
          <w:r>
            <w:fldChar w:fldCharType="separate"/>
          </w:r>
          <w:r>
            <w:t>11</w:t>
          </w:r>
          <w:r>
            <w:fldChar w:fldCharType="end"/>
          </w:r>
          <w:r>
            <w:fldChar w:fldCharType="end"/>
          </w:r>
        </w:p>
        <w:p>
          <w:pPr>
            <w:pStyle w:val="26"/>
            <w:tabs>
              <w:tab w:val="right" w:leader="dot" w:pos="9406"/>
            </w:tabs>
          </w:pPr>
          <w:r>
            <w:fldChar w:fldCharType="begin"/>
          </w:r>
          <w:r>
            <w:instrText xml:space="preserve"> HYPERLINK \l "_Toc27962" </w:instrText>
          </w:r>
          <w:r>
            <w:fldChar w:fldCharType="separate"/>
          </w:r>
          <w:r>
            <w:rPr>
              <w:rFonts w:hint="eastAsia"/>
            </w:rPr>
            <w:t>7.投标保证金：</w:t>
          </w:r>
          <w:r>
            <w:tab/>
          </w:r>
          <w:r>
            <w:fldChar w:fldCharType="begin"/>
          </w:r>
          <w:r>
            <w:instrText xml:space="preserve"> PAGEREF _Toc27962 </w:instrText>
          </w:r>
          <w:r>
            <w:fldChar w:fldCharType="separate"/>
          </w:r>
          <w:r>
            <w:t>11</w:t>
          </w:r>
          <w:r>
            <w:fldChar w:fldCharType="end"/>
          </w:r>
          <w:r>
            <w:fldChar w:fldCharType="end"/>
          </w:r>
        </w:p>
        <w:p>
          <w:pPr>
            <w:pStyle w:val="26"/>
            <w:tabs>
              <w:tab w:val="right" w:leader="dot" w:pos="9406"/>
            </w:tabs>
          </w:pPr>
          <w:r>
            <w:fldChar w:fldCharType="begin"/>
          </w:r>
          <w:r>
            <w:instrText xml:space="preserve"> HYPERLINK \l "_Toc13347" </w:instrText>
          </w:r>
          <w:r>
            <w:fldChar w:fldCharType="separate"/>
          </w:r>
          <w:r>
            <w:rPr>
              <w:rFonts w:hint="eastAsia"/>
            </w:rPr>
            <w:t>8. 投标的有效期</w:t>
          </w:r>
          <w:r>
            <w:tab/>
          </w:r>
          <w:r>
            <w:fldChar w:fldCharType="begin"/>
          </w:r>
          <w:r>
            <w:instrText xml:space="preserve"> PAGEREF _Toc13347 </w:instrText>
          </w:r>
          <w:r>
            <w:fldChar w:fldCharType="separate"/>
          </w:r>
          <w:r>
            <w:t>11</w:t>
          </w:r>
          <w:r>
            <w:fldChar w:fldCharType="end"/>
          </w:r>
          <w:r>
            <w:fldChar w:fldCharType="end"/>
          </w:r>
        </w:p>
        <w:p>
          <w:pPr>
            <w:pStyle w:val="26"/>
            <w:tabs>
              <w:tab w:val="right" w:leader="dot" w:pos="9406"/>
            </w:tabs>
          </w:pPr>
          <w:r>
            <w:fldChar w:fldCharType="begin"/>
          </w:r>
          <w:r>
            <w:instrText xml:space="preserve"> HYPERLINK \l "_Toc2809" </w:instrText>
          </w:r>
          <w:r>
            <w:fldChar w:fldCharType="separate"/>
          </w:r>
          <w:r>
            <w:rPr>
              <w:rFonts w:hint="eastAsia"/>
            </w:rPr>
            <w:t>9. 投标文件的数量和签署</w:t>
          </w:r>
          <w:r>
            <w:tab/>
          </w:r>
          <w:r>
            <w:fldChar w:fldCharType="begin"/>
          </w:r>
          <w:r>
            <w:instrText xml:space="preserve"> PAGEREF _Toc2809 </w:instrText>
          </w:r>
          <w:r>
            <w:fldChar w:fldCharType="separate"/>
          </w:r>
          <w:r>
            <w:t>12</w:t>
          </w:r>
          <w:r>
            <w:fldChar w:fldCharType="end"/>
          </w:r>
          <w:r>
            <w:fldChar w:fldCharType="end"/>
          </w:r>
        </w:p>
        <w:p>
          <w:pPr>
            <w:pStyle w:val="26"/>
            <w:tabs>
              <w:tab w:val="right" w:leader="dot" w:pos="9406"/>
            </w:tabs>
          </w:pPr>
          <w:r>
            <w:fldChar w:fldCharType="begin"/>
          </w:r>
          <w:r>
            <w:instrText xml:space="preserve"> HYPERLINK \l "_Toc16050" </w:instrText>
          </w:r>
          <w:r>
            <w:fldChar w:fldCharType="separate"/>
          </w:r>
          <w:r>
            <w:rPr>
              <w:rFonts w:hint="eastAsia"/>
            </w:rPr>
            <w:t>10、投标文件的递交</w:t>
          </w:r>
          <w:r>
            <w:tab/>
          </w:r>
          <w:r>
            <w:fldChar w:fldCharType="begin"/>
          </w:r>
          <w:r>
            <w:instrText xml:space="preserve"> PAGEREF _Toc16050 </w:instrText>
          </w:r>
          <w:r>
            <w:fldChar w:fldCharType="separate"/>
          </w:r>
          <w:r>
            <w:t>12</w:t>
          </w:r>
          <w:r>
            <w:fldChar w:fldCharType="end"/>
          </w:r>
          <w:r>
            <w:fldChar w:fldCharType="end"/>
          </w:r>
        </w:p>
        <w:p>
          <w:pPr>
            <w:pStyle w:val="26"/>
            <w:tabs>
              <w:tab w:val="right" w:leader="dot" w:pos="9406"/>
            </w:tabs>
          </w:pPr>
          <w:r>
            <w:fldChar w:fldCharType="begin"/>
          </w:r>
          <w:r>
            <w:instrText xml:space="preserve"> HYPERLINK \l "_Toc2570" </w:instrText>
          </w:r>
          <w:r>
            <w:fldChar w:fldCharType="separate"/>
          </w:r>
          <w:r>
            <w:rPr>
              <w:rFonts w:hint="eastAsia"/>
            </w:rPr>
            <w:t>11. 投标截止时间</w:t>
          </w:r>
          <w:r>
            <w:tab/>
          </w:r>
          <w:r>
            <w:fldChar w:fldCharType="begin"/>
          </w:r>
          <w:r>
            <w:instrText xml:space="preserve"> PAGEREF _Toc2570 </w:instrText>
          </w:r>
          <w:r>
            <w:fldChar w:fldCharType="separate"/>
          </w:r>
          <w:r>
            <w:t>12</w:t>
          </w:r>
          <w:r>
            <w:fldChar w:fldCharType="end"/>
          </w:r>
          <w:r>
            <w:fldChar w:fldCharType="end"/>
          </w:r>
        </w:p>
        <w:p>
          <w:pPr>
            <w:pStyle w:val="26"/>
            <w:tabs>
              <w:tab w:val="right" w:leader="dot" w:pos="9406"/>
            </w:tabs>
          </w:pPr>
          <w:r>
            <w:fldChar w:fldCharType="begin"/>
          </w:r>
          <w:r>
            <w:instrText xml:space="preserve"> HYPERLINK \l "_Toc1772" </w:instrText>
          </w:r>
          <w:r>
            <w:fldChar w:fldCharType="separate"/>
          </w:r>
          <w:r>
            <w:rPr>
              <w:rFonts w:hint="eastAsia"/>
            </w:rPr>
            <w:t>12. 迟交的投标文件</w:t>
          </w:r>
          <w:r>
            <w:tab/>
          </w:r>
          <w:r>
            <w:fldChar w:fldCharType="begin"/>
          </w:r>
          <w:r>
            <w:instrText xml:space="preserve"> PAGEREF _Toc1772 </w:instrText>
          </w:r>
          <w:r>
            <w:fldChar w:fldCharType="separate"/>
          </w:r>
          <w:r>
            <w:t>12</w:t>
          </w:r>
          <w:r>
            <w:fldChar w:fldCharType="end"/>
          </w:r>
          <w:r>
            <w:fldChar w:fldCharType="end"/>
          </w:r>
        </w:p>
        <w:p>
          <w:pPr>
            <w:pStyle w:val="26"/>
            <w:tabs>
              <w:tab w:val="right" w:leader="dot" w:pos="9406"/>
            </w:tabs>
          </w:pPr>
          <w:r>
            <w:fldChar w:fldCharType="begin"/>
          </w:r>
          <w:r>
            <w:instrText xml:space="preserve"> HYPERLINK \l "_Toc31798" </w:instrText>
          </w:r>
          <w:r>
            <w:fldChar w:fldCharType="separate"/>
          </w:r>
          <w:r>
            <w:rPr>
              <w:rFonts w:hint="eastAsia"/>
            </w:rPr>
            <w:t>13. 投标文件的修改和撤回</w:t>
          </w:r>
          <w:r>
            <w:tab/>
          </w:r>
          <w:r>
            <w:fldChar w:fldCharType="begin"/>
          </w:r>
          <w:r>
            <w:instrText xml:space="preserve"> PAGEREF _Toc31798 </w:instrText>
          </w:r>
          <w:r>
            <w:fldChar w:fldCharType="separate"/>
          </w:r>
          <w:r>
            <w:t>12</w:t>
          </w:r>
          <w:r>
            <w:fldChar w:fldCharType="end"/>
          </w:r>
          <w:r>
            <w:fldChar w:fldCharType="end"/>
          </w:r>
        </w:p>
        <w:p>
          <w:pPr>
            <w:pStyle w:val="26"/>
            <w:tabs>
              <w:tab w:val="right" w:leader="dot" w:pos="9406"/>
            </w:tabs>
          </w:pPr>
          <w:r>
            <w:fldChar w:fldCharType="begin"/>
          </w:r>
          <w:r>
            <w:instrText xml:space="preserve"> HYPERLINK \l "_Toc32375" </w:instrText>
          </w:r>
          <w:r>
            <w:fldChar w:fldCharType="separate"/>
          </w:r>
          <w:r>
            <w:rPr>
              <w:rFonts w:hint="eastAsia"/>
            </w:rPr>
            <w:t>14、开标、评审与成交</w:t>
          </w:r>
          <w:r>
            <w:tab/>
          </w:r>
          <w:r>
            <w:fldChar w:fldCharType="begin"/>
          </w:r>
          <w:r>
            <w:instrText xml:space="preserve"> PAGEREF _Toc32375 </w:instrText>
          </w:r>
          <w:r>
            <w:fldChar w:fldCharType="separate"/>
          </w:r>
          <w:r>
            <w:t>13</w:t>
          </w:r>
          <w:r>
            <w:fldChar w:fldCharType="end"/>
          </w:r>
          <w:r>
            <w:fldChar w:fldCharType="end"/>
          </w:r>
        </w:p>
        <w:p>
          <w:pPr>
            <w:pStyle w:val="26"/>
            <w:tabs>
              <w:tab w:val="right" w:leader="dot" w:pos="9406"/>
            </w:tabs>
          </w:pPr>
          <w:r>
            <w:fldChar w:fldCharType="begin"/>
          </w:r>
          <w:r>
            <w:instrText xml:space="preserve"> HYPERLINK \l "_Toc8073" </w:instrText>
          </w:r>
          <w:r>
            <w:fldChar w:fldCharType="separate"/>
          </w:r>
          <w:r>
            <w:rPr>
              <w:rFonts w:hint="eastAsia"/>
            </w:rPr>
            <w:t>15. 开标</w:t>
          </w:r>
          <w:r>
            <w:tab/>
          </w:r>
          <w:r>
            <w:fldChar w:fldCharType="begin"/>
          </w:r>
          <w:r>
            <w:instrText xml:space="preserve"> PAGEREF _Toc8073 </w:instrText>
          </w:r>
          <w:r>
            <w:fldChar w:fldCharType="separate"/>
          </w:r>
          <w:r>
            <w:t>13</w:t>
          </w:r>
          <w:r>
            <w:fldChar w:fldCharType="end"/>
          </w:r>
          <w:r>
            <w:fldChar w:fldCharType="end"/>
          </w:r>
        </w:p>
        <w:p>
          <w:pPr>
            <w:pStyle w:val="26"/>
            <w:tabs>
              <w:tab w:val="right" w:leader="dot" w:pos="9406"/>
            </w:tabs>
          </w:pPr>
          <w:r>
            <w:fldChar w:fldCharType="begin"/>
          </w:r>
          <w:r>
            <w:instrText xml:space="preserve"> HYPERLINK \l "_Toc6719" </w:instrText>
          </w:r>
          <w:r>
            <w:fldChar w:fldCharType="separate"/>
          </w:r>
          <w:r>
            <w:rPr>
              <w:rFonts w:hint="eastAsia"/>
            </w:rPr>
            <w:t>16. 评审委员会的组成和评审方法</w:t>
          </w:r>
          <w:r>
            <w:tab/>
          </w:r>
          <w:r>
            <w:fldChar w:fldCharType="begin"/>
          </w:r>
          <w:r>
            <w:instrText xml:space="preserve"> PAGEREF _Toc6719 </w:instrText>
          </w:r>
          <w:r>
            <w:fldChar w:fldCharType="separate"/>
          </w:r>
          <w:r>
            <w:t>13</w:t>
          </w:r>
          <w:r>
            <w:fldChar w:fldCharType="end"/>
          </w:r>
          <w:r>
            <w:fldChar w:fldCharType="end"/>
          </w:r>
        </w:p>
        <w:p>
          <w:pPr>
            <w:pStyle w:val="26"/>
            <w:tabs>
              <w:tab w:val="right" w:leader="dot" w:pos="9406"/>
            </w:tabs>
          </w:pPr>
          <w:r>
            <w:fldChar w:fldCharType="begin"/>
          </w:r>
          <w:r>
            <w:instrText xml:space="preserve"> HYPERLINK \l "_Toc20491" </w:instrText>
          </w:r>
          <w:r>
            <w:fldChar w:fldCharType="separate"/>
          </w:r>
          <w:r>
            <w:rPr>
              <w:rFonts w:hint="eastAsia"/>
            </w:rPr>
            <w:t>17. 评审、定标及相关问题</w:t>
          </w:r>
          <w:r>
            <w:tab/>
          </w:r>
          <w:r>
            <w:fldChar w:fldCharType="begin"/>
          </w:r>
          <w:r>
            <w:instrText xml:space="preserve"> PAGEREF _Toc20491 </w:instrText>
          </w:r>
          <w:r>
            <w:fldChar w:fldCharType="separate"/>
          </w:r>
          <w:r>
            <w:t>13</w:t>
          </w:r>
          <w:r>
            <w:fldChar w:fldCharType="end"/>
          </w:r>
          <w:r>
            <w:fldChar w:fldCharType="end"/>
          </w:r>
        </w:p>
        <w:p>
          <w:pPr>
            <w:pStyle w:val="26"/>
            <w:tabs>
              <w:tab w:val="right" w:leader="dot" w:pos="9406"/>
            </w:tabs>
          </w:pPr>
          <w:r>
            <w:fldChar w:fldCharType="begin"/>
          </w:r>
          <w:r>
            <w:instrText xml:space="preserve"> HYPERLINK \l "_Toc15828" </w:instrText>
          </w:r>
          <w:r>
            <w:fldChar w:fldCharType="separate"/>
          </w:r>
          <w:r>
            <w:rPr>
              <w:rFonts w:hint="eastAsia"/>
            </w:rPr>
            <w:t>18.签订合同</w:t>
          </w:r>
          <w:r>
            <w:tab/>
          </w:r>
          <w:r>
            <w:fldChar w:fldCharType="begin"/>
          </w:r>
          <w:r>
            <w:instrText xml:space="preserve"> PAGEREF _Toc15828 </w:instrText>
          </w:r>
          <w:r>
            <w:fldChar w:fldCharType="separate"/>
          </w:r>
          <w:r>
            <w:t>14</w:t>
          </w:r>
          <w:r>
            <w:fldChar w:fldCharType="end"/>
          </w:r>
          <w:r>
            <w:fldChar w:fldCharType="end"/>
          </w:r>
        </w:p>
        <w:p>
          <w:pPr>
            <w:pStyle w:val="22"/>
            <w:tabs>
              <w:tab w:val="right" w:leader="dot" w:pos="9406"/>
            </w:tabs>
          </w:pPr>
          <w:r>
            <w:fldChar w:fldCharType="begin"/>
          </w:r>
          <w:r>
            <w:instrText xml:space="preserve"> HYPERLINK \l "_Toc1055" </w:instrText>
          </w:r>
          <w:r>
            <w:fldChar w:fldCharType="separate"/>
          </w:r>
          <w:r>
            <w:rPr>
              <w:rFonts w:hint="eastAsia" w:asciiTheme="minorEastAsia" w:hAnsiTheme="minorEastAsia" w:eastAsiaTheme="minorEastAsia" w:cstheme="minorEastAsia"/>
              <w:szCs w:val="32"/>
            </w:rPr>
            <w:t>第三章 评分办法</w:t>
          </w:r>
          <w:r>
            <w:tab/>
          </w:r>
          <w:r>
            <w:fldChar w:fldCharType="begin"/>
          </w:r>
          <w:r>
            <w:instrText xml:space="preserve"> PAGEREF _Toc1055 </w:instrText>
          </w:r>
          <w:r>
            <w:fldChar w:fldCharType="separate"/>
          </w:r>
          <w:r>
            <w:t>15</w:t>
          </w:r>
          <w:r>
            <w:fldChar w:fldCharType="end"/>
          </w:r>
          <w:r>
            <w:fldChar w:fldCharType="end"/>
          </w:r>
        </w:p>
        <w:p>
          <w:pPr>
            <w:pStyle w:val="22"/>
            <w:tabs>
              <w:tab w:val="right" w:leader="dot" w:pos="9406"/>
            </w:tabs>
          </w:pPr>
          <w:r>
            <w:fldChar w:fldCharType="begin"/>
          </w:r>
          <w:r>
            <w:instrText xml:space="preserve"> HYPERLINK \l "_Toc2745" </w:instrText>
          </w:r>
          <w:r>
            <w:fldChar w:fldCharType="separate"/>
          </w:r>
          <w:r>
            <w:t>第</w:t>
          </w:r>
          <w:r>
            <w:rPr>
              <w:rFonts w:hint="eastAsia"/>
            </w:rPr>
            <w:t>四</w:t>
          </w:r>
          <w:r>
            <w:t xml:space="preserve">章 </w:t>
          </w:r>
          <w:r>
            <w:rPr>
              <w:rFonts w:hint="eastAsia"/>
            </w:rPr>
            <w:t>合同</w:t>
          </w:r>
          <w:r>
            <w:t>条款及格式</w:t>
          </w:r>
          <w:r>
            <w:tab/>
          </w:r>
          <w:r>
            <w:fldChar w:fldCharType="begin"/>
          </w:r>
          <w:r>
            <w:instrText xml:space="preserve"> PAGEREF _Toc2745 </w:instrText>
          </w:r>
          <w:r>
            <w:fldChar w:fldCharType="separate"/>
          </w:r>
          <w:r>
            <w:t>17</w:t>
          </w:r>
          <w:r>
            <w:fldChar w:fldCharType="end"/>
          </w:r>
          <w:r>
            <w:fldChar w:fldCharType="end"/>
          </w:r>
        </w:p>
        <w:p>
          <w:pPr>
            <w:pStyle w:val="22"/>
            <w:tabs>
              <w:tab w:val="right" w:leader="dot" w:pos="9406"/>
            </w:tabs>
          </w:pPr>
          <w:r>
            <w:fldChar w:fldCharType="begin"/>
          </w:r>
          <w:r>
            <w:instrText xml:space="preserve"> HYPERLINK \l "_Toc4395" </w:instrText>
          </w:r>
          <w:r>
            <w:fldChar w:fldCharType="separate"/>
          </w:r>
          <w:r>
            <w:rPr>
              <w:rFonts w:hint="eastAsia"/>
            </w:rPr>
            <w:t>第五章 投标文件格式</w:t>
          </w:r>
          <w:r>
            <w:tab/>
          </w:r>
          <w:r>
            <w:fldChar w:fldCharType="begin"/>
          </w:r>
          <w:r>
            <w:instrText xml:space="preserve"> PAGEREF _Toc4395 </w:instrText>
          </w:r>
          <w:r>
            <w:fldChar w:fldCharType="separate"/>
          </w:r>
          <w:r>
            <w:t>24</w:t>
          </w:r>
          <w:r>
            <w:fldChar w:fldCharType="end"/>
          </w:r>
          <w:r>
            <w:fldChar w:fldCharType="end"/>
          </w:r>
        </w:p>
        <w:p>
          <w:pPr>
            <w:pStyle w:val="26"/>
            <w:tabs>
              <w:tab w:val="right" w:leader="dot" w:pos="9406"/>
            </w:tabs>
          </w:pPr>
          <w:r>
            <w:fldChar w:fldCharType="begin"/>
          </w:r>
          <w:r>
            <w:instrText xml:space="preserve"> HYPERLINK \l "_Toc31487" </w:instrText>
          </w:r>
          <w:r>
            <w:fldChar w:fldCharType="separate"/>
          </w:r>
          <w:r>
            <w:rPr>
              <w:rFonts w:hint="eastAsia"/>
            </w:rPr>
            <w:t>一、投标函</w:t>
          </w:r>
          <w:r>
            <w:tab/>
          </w:r>
          <w:r>
            <w:fldChar w:fldCharType="begin"/>
          </w:r>
          <w:r>
            <w:instrText xml:space="preserve"> PAGEREF _Toc31487 </w:instrText>
          </w:r>
          <w:r>
            <w:fldChar w:fldCharType="separate"/>
          </w:r>
          <w:r>
            <w:t>27</w:t>
          </w:r>
          <w:r>
            <w:fldChar w:fldCharType="end"/>
          </w:r>
          <w:r>
            <w:fldChar w:fldCharType="end"/>
          </w:r>
        </w:p>
        <w:p>
          <w:pPr>
            <w:pStyle w:val="26"/>
            <w:tabs>
              <w:tab w:val="right" w:leader="dot" w:pos="9406"/>
            </w:tabs>
          </w:pPr>
          <w:r>
            <w:fldChar w:fldCharType="begin"/>
          </w:r>
          <w:r>
            <w:instrText xml:space="preserve"> HYPERLINK \l "_Toc8759" </w:instrText>
          </w:r>
          <w:r>
            <w:fldChar w:fldCharType="separate"/>
          </w:r>
          <w:r>
            <w:rPr>
              <w:szCs w:val="28"/>
            </w:rPr>
            <w:t>二、法定代表人（单位负责人）身份证明</w:t>
          </w:r>
          <w:r>
            <w:tab/>
          </w:r>
          <w:r>
            <w:fldChar w:fldCharType="begin"/>
          </w:r>
          <w:r>
            <w:instrText xml:space="preserve"> PAGEREF _Toc8759 </w:instrText>
          </w:r>
          <w:r>
            <w:fldChar w:fldCharType="separate"/>
          </w:r>
          <w:r>
            <w:t>28</w:t>
          </w:r>
          <w:r>
            <w:fldChar w:fldCharType="end"/>
          </w:r>
          <w:r>
            <w:fldChar w:fldCharType="end"/>
          </w:r>
        </w:p>
        <w:p>
          <w:pPr>
            <w:pStyle w:val="26"/>
            <w:tabs>
              <w:tab w:val="right" w:leader="dot" w:pos="9406"/>
            </w:tabs>
          </w:pPr>
          <w:r>
            <w:fldChar w:fldCharType="begin"/>
          </w:r>
          <w:r>
            <w:instrText xml:space="preserve"> HYPERLINK \l "_Toc10723" </w:instrText>
          </w:r>
          <w:r>
            <w:fldChar w:fldCharType="separate"/>
          </w:r>
          <w:r>
            <w:rPr>
              <w:rFonts w:hint="eastAsia"/>
            </w:rPr>
            <w:t>三、法定代表人授权委托书</w:t>
          </w:r>
          <w:r>
            <w:tab/>
          </w:r>
          <w:r>
            <w:fldChar w:fldCharType="begin"/>
          </w:r>
          <w:r>
            <w:instrText xml:space="preserve"> PAGEREF _Toc10723 </w:instrText>
          </w:r>
          <w:r>
            <w:fldChar w:fldCharType="separate"/>
          </w:r>
          <w:r>
            <w:t>29</w:t>
          </w:r>
          <w:r>
            <w:fldChar w:fldCharType="end"/>
          </w:r>
          <w:r>
            <w:fldChar w:fldCharType="end"/>
          </w:r>
        </w:p>
        <w:p>
          <w:pPr>
            <w:pStyle w:val="26"/>
            <w:tabs>
              <w:tab w:val="right" w:leader="dot" w:pos="9406"/>
            </w:tabs>
          </w:pPr>
          <w:r>
            <w:fldChar w:fldCharType="begin"/>
          </w:r>
          <w:r>
            <w:instrText xml:space="preserve"> HYPERLINK \l "_Toc22677" </w:instrText>
          </w:r>
          <w:r>
            <w:fldChar w:fldCharType="separate"/>
          </w:r>
          <w:r>
            <w:t>四、投标保证金</w:t>
          </w:r>
          <w:r>
            <w:tab/>
          </w:r>
          <w:r>
            <w:fldChar w:fldCharType="begin"/>
          </w:r>
          <w:r>
            <w:instrText xml:space="preserve"> PAGEREF _Toc22677 </w:instrText>
          </w:r>
          <w:r>
            <w:fldChar w:fldCharType="separate"/>
          </w:r>
          <w:r>
            <w:t>30</w:t>
          </w:r>
          <w:r>
            <w:fldChar w:fldCharType="end"/>
          </w:r>
          <w:r>
            <w:fldChar w:fldCharType="end"/>
          </w:r>
        </w:p>
        <w:p>
          <w:pPr>
            <w:pStyle w:val="26"/>
            <w:tabs>
              <w:tab w:val="right" w:leader="dot" w:pos="9406"/>
            </w:tabs>
          </w:pPr>
          <w:r>
            <w:fldChar w:fldCharType="begin"/>
          </w:r>
          <w:r>
            <w:instrText xml:space="preserve"> HYPERLINK \l "_Toc591" </w:instrText>
          </w:r>
          <w:r>
            <w:fldChar w:fldCharType="separate"/>
          </w:r>
          <w:r>
            <w:t>若采用现金或支票，投标人应在此提供汇款凭证的原件扫描件。</w:t>
          </w:r>
          <w:r>
            <w:tab/>
          </w:r>
          <w:r>
            <w:fldChar w:fldCharType="begin"/>
          </w:r>
          <w:r>
            <w:instrText xml:space="preserve"> PAGEREF _Toc591 </w:instrText>
          </w:r>
          <w:r>
            <w:fldChar w:fldCharType="separate"/>
          </w:r>
          <w:r>
            <w:t>30</w:t>
          </w:r>
          <w:r>
            <w:fldChar w:fldCharType="end"/>
          </w:r>
          <w:r>
            <w:fldChar w:fldCharType="end"/>
          </w:r>
        </w:p>
        <w:p>
          <w:pPr>
            <w:pStyle w:val="26"/>
            <w:tabs>
              <w:tab w:val="right" w:leader="dot" w:pos="9406"/>
            </w:tabs>
          </w:pPr>
          <w:r>
            <w:fldChar w:fldCharType="begin"/>
          </w:r>
          <w:r>
            <w:instrText xml:space="preserve"> HYPERLINK \l "_Toc3806" </w:instrText>
          </w:r>
          <w:r>
            <w:fldChar w:fldCharType="separate"/>
          </w:r>
          <w:r>
            <w:t>五、商务和技术偏差表</w:t>
          </w:r>
          <w:r>
            <w:tab/>
          </w:r>
          <w:r>
            <w:fldChar w:fldCharType="begin"/>
          </w:r>
          <w:r>
            <w:instrText xml:space="preserve"> PAGEREF _Toc3806 </w:instrText>
          </w:r>
          <w:r>
            <w:fldChar w:fldCharType="separate"/>
          </w:r>
          <w:r>
            <w:t>31</w:t>
          </w:r>
          <w:r>
            <w:fldChar w:fldCharType="end"/>
          </w:r>
          <w:r>
            <w:fldChar w:fldCharType="end"/>
          </w:r>
        </w:p>
        <w:p>
          <w:pPr>
            <w:pStyle w:val="26"/>
            <w:tabs>
              <w:tab w:val="right" w:leader="dot" w:pos="9406"/>
            </w:tabs>
          </w:pPr>
          <w:r>
            <w:fldChar w:fldCharType="begin"/>
          </w:r>
          <w:r>
            <w:instrText xml:space="preserve"> HYPERLINK \l "_Toc2668" </w:instrText>
          </w:r>
          <w:r>
            <w:fldChar w:fldCharType="separate"/>
          </w:r>
          <w:r>
            <w:rPr>
              <w:rFonts w:hint="eastAsia"/>
            </w:rPr>
            <w:t>六、</w:t>
          </w:r>
          <w:r>
            <w:t>报价文件</w:t>
          </w:r>
          <w:r>
            <w:tab/>
          </w:r>
          <w:r>
            <w:fldChar w:fldCharType="begin"/>
          </w:r>
          <w:r>
            <w:instrText xml:space="preserve"> PAGEREF _Toc2668 </w:instrText>
          </w:r>
          <w:r>
            <w:fldChar w:fldCharType="separate"/>
          </w:r>
          <w:r>
            <w:t>32</w:t>
          </w:r>
          <w:r>
            <w:fldChar w:fldCharType="end"/>
          </w:r>
          <w:r>
            <w:fldChar w:fldCharType="end"/>
          </w:r>
        </w:p>
        <w:p>
          <w:pPr>
            <w:pStyle w:val="26"/>
            <w:tabs>
              <w:tab w:val="right" w:leader="dot" w:pos="9406"/>
            </w:tabs>
          </w:pPr>
          <w:r>
            <w:fldChar w:fldCharType="begin"/>
          </w:r>
          <w:r>
            <w:instrText xml:space="preserve"> HYPERLINK \l "_Toc14532" </w:instrText>
          </w:r>
          <w:r>
            <w:fldChar w:fldCharType="separate"/>
          </w:r>
          <w:r>
            <w:rPr>
              <w:rFonts w:hint="eastAsia"/>
            </w:rPr>
            <w:t>七、</w:t>
          </w:r>
          <w:r>
            <w:t>近年完成的类似项目情况表</w:t>
          </w:r>
          <w:r>
            <w:tab/>
          </w:r>
          <w:r>
            <w:fldChar w:fldCharType="begin"/>
          </w:r>
          <w:r>
            <w:instrText xml:space="preserve"> PAGEREF _Toc14532 </w:instrText>
          </w:r>
          <w:r>
            <w:fldChar w:fldCharType="separate"/>
          </w:r>
          <w:r>
            <w:t>35</w:t>
          </w:r>
          <w:r>
            <w:fldChar w:fldCharType="end"/>
          </w:r>
          <w:r>
            <w:fldChar w:fldCharType="end"/>
          </w:r>
        </w:p>
        <w:p>
          <w:pPr>
            <w:pStyle w:val="26"/>
            <w:tabs>
              <w:tab w:val="right" w:leader="dot" w:pos="9406"/>
            </w:tabs>
          </w:pPr>
          <w:r>
            <w:fldChar w:fldCharType="begin"/>
          </w:r>
          <w:r>
            <w:instrText xml:space="preserve"> HYPERLINK \l "_Toc31905" </w:instrText>
          </w:r>
          <w:r>
            <w:fldChar w:fldCharType="separate"/>
          </w:r>
          <w:r>
            <w:rPr>
              <w:rFonts w:hint="eastAsia"/>
              <w:spacing w:val="-1"/>
              <w:szCs w:val="28"/>
            </w:rPr>
            <w:t>八、售后服务</w:t>
          </w:r>
          <w:r>
            <w:tab/>
          </w:r>
          <w:r>
            <w:fldChar w:fldCharType="begin"/>
          </w:r>
          <w:r>
            <w:instrText xml:space="preserve"> PAGEREF _Toc31905 </w:instrText>
          </w:r>
          <w:r>
            <w:fldChar w:fldCharType="separate"/>
          </w:r>
          <w:r>
            <w:t>39</w:t>
          </w:r>
          <w:r>
            <w:fldChar w:fldCharType="end"/>
          </w:r>
          <w:r>
            <w:fldChar w:fldCharType="end"/>
          </w:r>
        </w:p>
        <w:p>
          <w:pPr>
            <w:pStyle w:val="26"/>
            <w:tabs>
              <w:tab w:val="right" w:leader="dot" w:pos="9406"/>
            </w:tabs>
          </w:pPr>
          <w:r>
            <w:fldChar w:fldCharType="begin"/>
          </w:r>
          <w:r>
            <w:instrText xml:space="preserve"> HYPERLINK \l "_Toc28300" </w:instrText>
          </w:r>
          <w:r>
            <w:fldChar w:fldCharType="separate"/>
          </w:r>
          <w:r>
            <w:rPr>
              <w:rFonts w:hint="eastAsia"/>
              <w:szCs w:val="28"/>
            </w:rPr>
            <w:t>九、信誉文件要求</w:t>
          </w:r>
          <w:r>
            <w:tab/>
          </w:r>
          <w:r>
            <w:fldChar w:fldCharType="begin"/>
          </w:r>
          <w:r>
            <w:instrText xml:space="preserve"> PAGEREF _Toc28300 </w:instrText>
          </w:r>
          <w:r>
            <w:fldChar w:fldCharType="separate"/>
          </w:r>
          <w:r>
            <w:t>39</w:t>
          </w:r>
          <w:r>
            <w:fldChar w:fldCharType="end"/>
          </w:r>
          <w:r>
            <w:fldChar w:fldCharType="end"/>
          </w:r>
        </w:p>
        <w:p>
          <w:pPr>
            <w:spacing w:line="300" w:lineRule="auto"/>
          </w:pPr>
          <w:r>
            <w:fldChar w:fldCharType="end"/>
          </w:r>
        </w:p>
      </w:sdtContent>
    </w:sdt>
    <w:p>
      <w:pPr>
        <w:pStyle w:val="4"/>
        <w:sectPr>
          <w:footerReference r:id="rId5" w:type="default"/>
          <w:pgSz w:w="12240" w:h="15840"/>
          <w:pgMar w:top="1587" w:right="1417" w:bottom="1587" w:left="1417" w:header="850" w:footer="567" w:gutter="0"/>
          <w:cols w:space="0" w:num="1"/>
          <w:docGrid w:linePitch="299" w:charSpace="0"/>
        </w:sectPr>
      </w:pPr>
    </w:p>
    <w:bookmarkEnd w:id="4"/>
    <w:bookmarkEnd w:id="5"/>
    <w:bookmarkEnd w:id="6"/>
    <w:bookmarkEnd w:id="7"/>
    <w:bookmarkEnd w:id="8"/>
    <w:bookmarkEnd w:id="9"/>
    <w:p>
      <w:pPr>
        <w:pStyle w:val="4"/>
        <w:ind w:left="0"/>
        <w:jc w:val="center"/>
      </w:pPr>
      <w:bookmarkStart w:id="12" w:name="_Toc10768"/>
      <w:bookmarkStart w:id="13" w:name="_Toc2215"/>
      <w:bookmarkStart w:id="14" w:name="_Toc28006"/>
      <w:bookmarkStart w:id="15" w:name="_Toc30978"/>
      <w:bookmarkStart w:id="16" w:name="_Toc31418"/>
      <w:bookmarkStart w:id="17" w:name="_Toc24717"/>
      <w:r>
        <w:t>第</w:t>
      </w:r>
      <w:r>
        <w:rPr>
          <w:rFonts w:hint="eastAsia"/>
        </w:rPr>
        <w:t>一</w:t>
      </w:r>
      <w:r>
        <w:t>章</w:t>
      </w:r>
      <w:r>
        <w:rPr>
          <w:rFonts w:hint="eastAsia"/>
        </w:rPr>
        <w:t xml:space="preserve"> </w:t>
      </w:r>
      <w:r>
        <w:t>招标公告</w:t>
      </w:r>
      <w:bookmarkEnd w:id="10"/>
      <w:bookmarkEnd w:id="11"/>
      <w:bookmarkEnd w:id="12"/>
      <w:bookmarkEnd w:id="13"/>
      <w:bookmarkEnd w:id="14"/>
      <w:bookmarkEnd w:id="15"/>
      <w:bookmarkEnd w:id="16"/>
      <w:bookmarkEnd w:id="17"/>
    </w:p>
    <w:p>
      <w:pPr>
        <w:spacing w:line="300" w:lineRule="auto"/>
        <w:jc w:val="center"/>
        <w:rPr>
          <w:rFonts w:asciiTheme="minorEastAsia" w:hAnsiTheme="minorEastAsia" w:eastAsiaTheme="minorEastAsia"/>
          <w:b/>
          <w:bCs/>
          <w:color w:val="000000" w:themeColor="text1"/>
          <w:sz w:val="32"/>
          <w:szCs w:val="32"/>
          <w14:textFill>
            <w14:solidFill>
              <w14:schemeClr w14:val="tx1"/>
            </w14:solidFill>
          </w14:textFill>
        </w:rPr>
      </w:pPr>
      <w:bookmarkStart w:id="18" w:name="_bookmark15"/>
      <w:bookmarkEnd w:id="18"/>
      <w:bookmarkStart w:id="19" w:name="_bookmark14"/>
      <w:bookmarkEnd w:id="19"/>
      <w:bookmarkStart w:id="20" w:name="_bookmark16"/>
      <w:bookmarkEnd w:id="20"/>
      <w:bookmarkStart w:id="21" w:name="_bookmark9"/>
      <w:bookmarkEnd w:id="21"/>
      <w:bookmarkStart w:id="22" w:name="_bookmark12"/>
      <w:bookmarkEnd w:id="22"/>
      <w:bookmarkStart w:id="23" w:name="_bookmark18"/>
      <w:bookmarkEnd w:id="23"/>
      <w:bookmarkStart w:id="24" w:name="_bookmark10"/>
      <w:bookmarkEnd w:id="24"/>
      <w:bookmarkStart w:id="25" w:name="_bookmark13"/>
      <w:bookmarkEnd w:id="25"/>
      <w:bookmarkStart w:id="26" w:name="_bookmark17"/>
      <w:bookmarkEnd w:id="26"/>
      <w:bookmarkStart w:id="27" w:name="_bookmark11"/>
      <w:bookmarkEnd w:id="27"/>
      <w:bookmarkStart w:id="28" w:name="_Toc29112"/>
      <w:bookmarkEnd w:id="28"/>
      <w:bookmarkStart w:id="29" w:name="_Toc8444"/>
      <w:bookmarkStart w:id="30" w:name="_Toc11340"/>
      <w:bookmarkStart w:id="31" w:name="_Toc30987"/>
      <w:bookmarkStart w:id="32" w:name="_Hlk38817244"/>
      <w:r>
        <w:rPr>
          <w:rFonts w:hint="eastAsia" w:asciiTheme="minorEastAsia" w:hAnsiTheme="minorEastAsia" w:eastAsiaTheme="minorEastAsia"/>
          <w:b/>
          <w:bCs/>
          <w:color w:val="000000" w:themeColor="text1"/>
          <w:sz w:val="32"/>
          <w:szCs w:val="32"/>
          <w14:textFill>
            <w14:solidFill>
              <w14:schemeClr w14:val="tx1"/>
            </w14:solidFill>
          </w14:textFill>
        </w:rPr>
        <w:t>湖北工程职业学院供热锅炉房项目</w:t>
      </w:r>
    </w:p>
    <w:p>
      <w:pPr>
        <w:spacing w:line="300" w:lineRule="auto"/>
        <w:jc w:val="center"/>
        <w:rPr>
          <w:rFonts w:asciiTheme="minorEastAsia" w:hAnsiTheme="minorEastAsia" w:eastAsiaTheme="minorEastAsia"/>
          <w:b/>
          <w:bCs/>
          <w:color w:val="000000" w:themeColor="text1"/>
          <w14:textFill>
            <w14:solidFill>
              <w14:schemeClr w14:val="tx1"/>
            </w14:solidFill>
          </w14:textFill>
        </w:rPr>
      </w:pPr>
      <w:r>
        <w:rPr>
          <w:rFonts w:hint="eastAsia" w:asciiTheme="minorEastAsia" w:hAnsiTheme="minorEastAsia" w:eastAsiaTheme="minorEastAsia"/>
          <w:b/>
          <w:bCs/>
          <w:color w:val="000000" w:themeColor="text1"/>
          <w:sz w:val="32"/>
          <w:szCs w:val="32"/>
          <w14:textFill>
            <w14:solidFill>
              <w14:schemeClr w14:val="tx1"/>
            </w14:solidFill>
          </w14:textFill>
        </w:rPr>
        <w:t>锅炉附属设备采购</w:t>
      </w:r>
      <w:bookmarkEnd w:id="29"/>
      <w:bookmarkEnd w:id="30"/>
      <w:bookmarkEnd w:id="31"/>
      <w:bookmarkEnd w:id="32"/>
      <w:bookmarkStart w:id="33" w:name="_Toc17006"/>
      <w:bookmarkStart w:id="34" w:name="_Toc3951"/>
      <w:bookmarkStart w:id="35" w:name="_Toc9166"/>
      <w:bookmarkStart w:id="36" w:name="_Toc4600"/>
      <w:bookmarkStart w:id="37" w:name="_Toc16887"/>
      <w:bookmarkStart w:id="38" w:name="_Toc28193"/>
      <w:r>
        <w:rPr>
          <w:rFonts w:hint="eastAsia" w:asciiTheme="minorEastAsia" w:hAnsiTheme="minorEastAsia" w:eastAsiaTheme="minorEastAsia"/>
          <w:b/>
          <w:bCs/>
          <w:color w:val="000000" w:themeColor="text1"/>
          <w:sz w:val="32"/>
          <w:szCs w:val="32"/>
          <w:lang w:val="en-US" w:eastAsia="zh-CN"/>
          <w14:textFill>
            <w14:solidFill>
              <w14:schemeClr w14:val="tx1"/>
            </w14:solidFill>
          </w14:textFill>
        </w:rPr>
        <w:t>二次</w:t>
      </w:r>
      <w:r>
        <w:rPr>
          <w:rFonts w:hint="eastAsia" w:asciiTheme="minorEastAsia" w:hAnsiTheme="minorEastAsia" w:eastAsiaTheme="minorEastAsia"/>
          <w:b/>
          <w:bCs/>
          <w:color w:val="000000" w:themeColor="text1"/>
          <w:sz w:val="32"/>
          <w:szCs w:val="32"/>
          <w14:textFill>
            <w14:solidFill>
              <w14:schemeClr w14:val="tx1"/>
            </w14:solidFill>
          </w14:textFill>
        </w:rPr>
        <w:t>招标公告</w:t>
      </w:r>
      <w:bookmarkEnd w:id="33"/>
      <w:bookmarkEnd w:id="34"/>
      <w:bookmarkEnd w:id="35"/>
      <w:bookmarkEnd w:id="36"/>
      <w:bookmarkEnd w:id="37"/>
      <w:bookmarkEnd w:id="38"/>
      <w:r>
        <w:rPr>
          <w:rFonts w:hint="eastAsia" w:asciiTheme="minorEastAsia" w:hAnsiTheme="minorEastAsia" w:eastAsiaTheme="minorEastAsia"/>
          <w:b/>
          <w:bCs/>
          <w:color w:val="000000" w:themeColor="text1"/>
          <w14:textFill>
            <w14:solidFill>
              <w14:schemeClr w14:val="tx1"/>
            </w14:solidFill>
          </w14:textFill>
        </w:rPr>
        <w:t xml:space="preserve"> </w:t>
      </w:r>
    </w:p>
    <w:p>
      <w:pPr>
        <w:pStyle w:val="5"/>
      </w:pPr>
      <w:bookmarkStart w:id="39" w:name="_Toc150"/>
      <w:bookmarkStart w:id="40" w:name="_Toc23630"/>
      <w:bookmarkStart w:id="41" w:name="_Toc9764"/>
      <w:bookmarkStart w:id="42" w:name="_Toc12354"/>
      <w:bookmarkStart w:id="43" w:name="_Toc22045"/>
      <w:bookmarkStart w:id="44" w:name="_Toc19112"/>
      <w:bookmarkStart w:id="45" w:name="_Toc17747"/>
      <w:bookmarkStart w:id="46" w:name="_Toc47984944"/>
      <w:bookmarkStart w:id="47" w:name="_Toc70345008"/>
      <w:bookmarkStart w:id="48" w:name="_Toc101709"/>
      <w:r>
        <w:t>1.</w:t>
      </w:r>
      <w:r>
        <w:rPr>
          <w:rFonts w:hint="eastAsia"/>
        </w:rPr>
        <w:t>招标条件</w:t>
      </w:r>
      <w:bookmarkEnd w:id="39"/>
      <w:bookmarkEnd w:id="40"/>
      <w:bookmarkEnd w:id="41"/>
      <w:bookmarkEnd w:id="42"/>
      <w:bookmarkEnd w:id="43"/>
      <w:bookmarkEnd w:id="44"/>
      <w:bookmarkEnd w:id="45"/>
      <w:bookmarkEnd w:id="46"/>
      <w:bookmarkEnd w:id="47"/>
      <w:r>
        <w:t xml:space="preserve"> </w:t>
      </w:r>
      <w:bookmarkEnd w:id="48"/>
    </w:p>
    <w:p>
      <w:pPr>
        <w:spacing w:line="300" w:lineRule="auto"/>
        <w:ind w:firstLine="480" w:firstLineChars="200"/>
        <w:rPr>
          <w:rFonts w:asciiTheme="minorEastAsia" w:hAnsiTheme="minorEastAsia" w:eastAsiaTheme="minorEastAsia"/>
          <w:color w:val="000000" w:themeColor="text1"/>
          <w14:textFill>
            <w14:solidFill>
              <w14:schemeClr w14:val="tx1"/>
            </w14:solidFill>
          </w14:textFill>
        </w:rPr>
      </w:pPr>
      <w:bookmarkStart w:id="49" w:name="_Toc16571"/>
      <w:bookmarkStart w:id="50" w:name="_Toc21596"/>
      <w:bookmarkStart w:id="51" w:name="_Toc32118"/>
      <w:bookmarkStart w:id="52" w:name="_Toc22183"/>
      <w:r>
        <w:rPr>
          <w:rFonts w:hint="eastAsia" w:cs="宋体" w:asciiTheme="minorEastAsia" w:hAnsiTheme="minorEastAsia" w:eastAsiaTheme="minorEastAsia"/>
          <w:color w:val="000000" w:themeColor="text1"/>
          <w14:textFill>
            <w14:solidFill>
              <w14:schemeClr w14:val="tx1"/>
            </w14:solidFill>
          </w14:textFill>
        </w:rPr>
        <w:t>本招标项目名称：</w:t>
      </w:r>
      <w:r>
        <w:rPr>
          <w:rFonts w:hint="eastAsia" w:asciiTheme="minorEastAsia" w:hAnsiTheme="minorEastAsia" w:eastAsiaTheme="minorEastAsia"/>
          <w:color w:val="000000" w:themeColor="text1"/>
          <w:u w:val="single"/>
          <w14:textFill>
            <w14:solidFill>
              <w14:schemeClr w14:val="tx1"/>
            </w14:solidFill>
          </w14:textFill>
        </w:rPr>
        <w:t>湖北工程职业学院供热锅炉房项目集中采购</w:t>
      </w:r>
      <w:r>
        <w:rPr>
          <w:rFonts w:hint="eastAsia" w:cs="宋体" w:asciiTheme="minorEastAsia" w:hAnsiTheme="minorEastAsia" w:eastAsiaTheme="minorEastAsia"/>
          <w:color w:val="000000" w:themeColor="text1"/>
          <w14:textFill>
            <w14:solidFill>
              <w14:schemeClr w14:val="tx1"/>
            </w14:solidFill>
          </w14:textFill>
        </w:rPr>
        <w:t>，招标人为</w:t>
      </w:r>
      <w:r>
        <w:rPr>
          <w:rFonts w:hint="eastAsia" w:asciiTheme="minorEastAsia" w:hAnsiTheme="minorEastAsia" w:eastAsiaTheme="minorEastAsia"/>
          <w:color w:val="000000" w:themeColor="text1"/>
          <w:u w:val="single"/>
          <w14:textFill>
            <w14:solidFill>
              <w14:schemeClr w14:val="tx1"/>
            </w14:solidFill>
          </w14:textFill>
        </w:rPr>
        <w:t>黄石市城发建设有限公司</w:t>
      </w:r>
      <w:r>
        <w:rPr>
          <w:rFonts w:asciiTheme="minorEastAsia" w:hAnsiTheme="minorEastAsia" w:eastAsiaTheme="minorEastAsia"/>
          <w:color w:val="000000" w:themeColor="text1"/>
          <w:u w:val="single"/>
          <w14:textFill>
            <w14:solidFill>
              <w14:schemeClr w14:val="tx1"/>
            </w14:solidFill>
          </w14:textFill>
        </w:rPr>
        <w:t xml:space="preserve"> </w:t>
      </w:r>
      <w:r>
        <w:rPr>
          <w:rFonts w:hint="eastAsia" w:cs="宋体" w:asciiTheme="minorEastAsia" w:hAnsiTheme="minorEastAsia" w:eastAsiaTheme="minorEastAsia"/>
          <w:color w:val="000000" w:themeColor="text1"/>
          <w14:textFill>
            <w14:solidFill>
              <w14:schemeClr w14:val="tx1"/>
            </w14:solidFill>
          </w14:textFill>
        </w:rPr>
        <w:t>，招标项目资金来自</w:t>
      </w:r>
      <w:r>
        <w:rPr>
          <w:rFonts w:hint="eastAsia" w:cs="宋体" w:asciiTheme="minorEastAsia" w:hAnsiTheme="minorEastAsia" w:eastAsiaTheme="minorEastAsia"/>
          <w:color w:val="000000" w:themeColor="text1"/>
          <w:u w:val="single"/>
          <w14:textFill>
            <w14:solidFill>
              <w14:schemeClr w14:val="tx1"/>
            </w14:solidFill>
          </w14:textFill>
        </w:rPr>
        <w:t xml:space="preserve"> 企业自筹 </w:t>
      </w:r>
      <w:r>
        <w:rPr>
          <w:rFonts w:hint="eastAsia" w:cs="宋体" w:asciiTheme="minorEastAsia" w:hAnsiTheme="minorEastAsia" w:eastAsiaTheme="minorEastAsia"/>
          <w:color w:val="000000" w:themeColor="text1"/>
          <w14:textFill>
            <w14:solidFill>
              <w14:schemeClr w14:val="tx1"/>
            </w14:solidFill>
          </w14:textFill>
        </w:rPr>
        <w:t>，项目出资比例为</w:t>
      </w:r>
      <w:r>
        <w:rPr>
          <w:rFonts w:asciiTheme="minorEastAsia" w:hAnsiTheme="minorEastAsia" w:eastAsia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olor w:val="000000" w:themeColor="text1"/>
          <w:u w:val="single"/>
          <w14:textFill>
            <w14:solidFill>
              <w14:schemeClr w14:val="tx1"/>
            </w14:solidFill>
          </w14:textFill>
        </w:rPr>
        <w:t>100%</w:t>
      </w:r>
      <w:r>
        <w:rPr>
          <w:rFonts w:asciiTheme="minorEastAsia" w:hAnsiTheme="minorEastAsia" w:eastAsiaTheme="minorEastAsia"/>
          <w:color w:val="000000" w:themeColor="text1"/>
          <w:u w:val="single"/>
          <w14:textFill>
            <w14:solidFill>
              <w14:schemeClr w14:val="tx1"/>
            </w14:solidFill>
          </w14:textFill>
        </w:rPr>
        <w:t xml:space="preserve"> </w:t>
      </w:r>
      <w:r>
        <w:rPr>
          <w:rFonts w:hint="eastAsia" w:cs="宋体" w:asciiTheme="minorEastAsia" w:hAnsiTheme="minorEastAsia" w:eastAsiaTheme="minorEastAsia"/>
          <w:color w:val="000000" w:themeColor="text1"/>
          <w14:textFill>
            <w14:solidFill>
              <w14:schemeClr w14:val="tx1"/>
            </w14:solidFill>
          </w14:textFill>
        </w:rPr>
        <w:t>。该项目已具备招标条件，对该项目</w:t>
      </w:r>
      <w:r>
        <w:rPr>
          <w:rFonts w:hint="eastAsia" w:cs="宋体" w:asciiTheme="minorEastAsia" w:hAnsiTheme="minorEastAsia" w:eastAsiaTheme="minorEastAsia"/>
          <w:color w:val="000000" w:themeColor="text1"/>
          <w:u w:val="single"/>
          <w14:textFill>
            <w14:solidFill>
              <w14:schemeClr w14:val="tx1"/>
            </w14:solidFill>
          </w14:textFill>
        </w:rPr>
        <w:t xml:space="preserve"> 锅炉附属设备 </w:t>
      </w:r>
      <w:r>
        <w:rPr>
          <w:rFonts w:hint="eastAsia" w:cs="宋体" w:asciiTheme="minorEastAsia" w:hAnsiTheme="minorEastAsia" w:eastAsiaTheme="minorEastAsia"/>
          <w:color w:val="000000" w:themeColor="text1"/>
          <w14:textFill>
            <w14:solidFill>
              <w14:schemeClr w14:val="tx1"/>
            </w14:solidFill>
          </w14:textFill>
        </w:rPr>
        <w:t>进行</w:t>
      </w:r>
      <w:r>
        <w:rPr>
          <w:rFonts w:hint="eastAsia" w:cs="宋体" w:asciiTheme="minorEastAsia" w:hAnsiTheme="minorEastAsia" w:eastAsiaTheme="minorEastAsia"/>
          <w:color w:val="000000" w:themeColor="text1"/>
          <w:u w:val="single"/>
          <w14:textFill>
            <w14:solidFill>
              <w14:schemeClr w14:val="tx1"/>
            </w14:solidFill>
          </w14:textFill>
        </w:rPr>
        <w:t>公开</w:t>
      </w:r>
      <w:r>
        <w:rPr>
          <w:rFonts w:hint="eastAsia" w:cs="宋体" w:asciiTheme="minorEastAsia" w:hAnsiTheme="minorEastAsia" w:eastAsiaTheme="minorEastAsia"/>
          <w:color w:val="000000" w:themeColor="text1"/>
          <w14:textFill>
            <w14:solidFill>
              <w14:schemeClr w14:val="tx1"/>
            </w14:solidFill>
          </w14:textFill>
        </w:rPr>
        <w:t>招标，</w:t>
      </w:r>
      <w:r>
        <w:rPr>
          <w:rFonts w:hint="eastAsia" w:asciiTheme="minorEastAsia" w:hAnsiTheme="minorEastAsia" w:eastAsiaTheme="minorEastAsia"/>
          <w:color w:val="000000" w:themeColor="text1"/>
          <w14:textFill>
            <w14:solidFill>
              <w14:schemeClr w14:val="tx1"/>
            </w14:solidFill>
          </w14:textFill>
        </w:rPr>
        <w:t>现欢迎合格供应商报名。</w:t>
      </w:r>
    </w:p>
    <w:p>
      <w:pPr>
        <w:pStyle w:val="5"/>
      </w:pPr>
      <w:bookmarkStart w:id="53" w:name="_Toc21200"/>
      <w:bookmarkStart w:id="54" w:name="_Toc6067"/>
      <w:bookmarkStart w:id="55" w:name="_Toc5212"/>
      <w:r>
        <w:rPr>
          <w:rFonts w:hint="eastAsia"/>
        </w:rPr>
        <w:t>2</w:t>
      </w:r>
      <w:r>
        <w:t>.</w:t>
      </w:r>
      <w:r>
        <w:rPr>
          <w:rFonts w:hint="eastAsia"/>
        </w:rPr>
        <w:t>项目概况</w:t>
      </w:r>
      <w:bookmarkEnd w:id="49"/>
      <w:bookmarkEnd w:id="50"/>
      <w:bookmarkEnd w:id="51"/>
      <w:bookmarkEnd w:id="53"/>
      <w:bookmarkEnd w:id="54"/>
      <w:bookmarkEnd w:id="55"/>
    </w:p>
    <w:p>
      <w:pPr>
        <w:spacing w:line="300" w:lineRule="auto"/>
        <w:ind w:firstLine="480" w:firstLineChars="200"/>
        <w:rPr>
          <w:rFonts w:cs="宋体" w:asciiTheme="minorEastAsia" w:hAnsiTheme="minorEastAsia" w:eastAsiaTheme="minorEastAsia"/>
          <w:szCs w:val="24"/>
        </w:rPr>
      </w:pPr>
      <w:r>
        <w:rPr>
          <w:rFonts w:hint="eastAsia" w:asciiTheme="minorEastAsia" w:hAnsiTheme="minorEastAsia" w:eastAsiaTheme="minorEastAsia"/>
          <w:color w:val="000000" w:themeColor="text1"/>
          <w14:textFill>
            <w14:solidFill>
              <w14:schemeClr w14:val="tx1"/>
            </w14:solidFill>
          </w14:textFill>
        </w:rPr>
        <w:t>项目概况：</w:t>
      </w:r>
      <w:r>
        <w:rPr>
          <w:rFonts w:hint="eastAsia" w:asciiTheme="minorEastAsia" w:hAnsiTheme="minorEastAsia" w:eastAsiaTheme="minorEastAsia"/>
        </w:rPr>
        <w:t>湖北工程职业学院供热锅炉房项目。项目：项目位于黄石市湖北工程职业学院校区内。</w:t>
      </w:r>
      <w:r>
        <w:rPr>
          <w:rFonts w:hint="eastAsia" w:cs="宋体" w:asciiTheme="minorEastAsia" w:hAnsiTheme="minorEastAsia" w:eastAsiaTheme="minorEastAsia"/>
          <w:szCs w:val="24"/>
        </w:rPr>
        <w:t>锅炉房拟安装3台4.2MW燃气热水真空冷凝锅炉，总供热面积291774，总热负荷9247kw，总供热量12.6MW,采暖系统设计供水回水温度85/60°C</w:t>
      </w:r>
      <w:r>
        <w:rPr>
          <w:rFonts w:cs="宋体" w:asciiTheme="minorEastAsia" w:hAnsiTheme="minorEastAsia" w:eastAsiaTheme="minorEastAsia"/>
          <w:szCs w:val="24"/>
        </w:rPr>
        <w:t>。</w:t>
      </w:r>
      <w:r>
        <w:rPr>
          <w:rFonts w:hint="eastAsia" w:cs="宋体" w:asciiTheme="minorEastAsia" w:hAnsiTheme="minorEastAsia" w:eastAsiaTheme="minorEastAsia"/>
          <w:szCs w:val="24"/>
        </w:rPr>
        <w:t>本次招标范围是锅炉配套附属设备进行招标。</w:t>
      </w:r>
    </w:p>
    <w:p>
      <w:pPr>
        <w:pStyle w:val="5"/>
      </w:pPr>
      <w:bookmarkStart w:id="56" w:name="_Toc3043"/>
      <w:bookmarkStart w:id="57" w:name="_Toc21323"/>
      <w:bookmarkStart w:id="58" w:name="_Toc29309"/>
      <w:bookmarkStart w:id="59" w:name="_Toc16003"/>
      <w:bookmarkStart w:id="60" w:name="_Toc30098"/>
      <w:bookmarkStart w:id="61" w:name="_Toc16319"/>
      <w:r>
        <w:rPr>
          <w:rFonts w:hint="eastAsia"/>
        </w:rPr>
        <w:t>3</w:t>
      </w:r>
      <w:r>
        <w:t>.</w:t>
      </w:r>
      <w:r>
        <w:rPr>
          <w:rFonts w:hint="eastAsia"/>
        </w:rPr>
        <w:t>招标范围</w:t>
      </w:r>
      <w:bookmarkEnd w:id="56"/>
      <w:bookmarkEnd w:id="57"/>
      <w:bookmarkEnd w:id="58"/>
      <w:bookmarkEnd w:id="59"/>
      <w:bookmarkEnd w:id="60"/>
      <w:bookmarkEnd w:id="61"/>
    </w:p>
    <w:p>
      <w:pPr>
        <w:spacing w:line="300" w:lineRule="auto"/>
        <w:ind w:firstLine="480" w:firstLineChars="200"/>
        <w:rPr>
          <w:rFonts w:ascii="宋体" w:hAnsi="宋体" w:cs="宋体"/>
        </w:rPr>
      </w:pPr>
      <w:r>
        <w:rPr>
          <w:rFonts w:hint="eastAsia" w:asciiTheme="minorEastAsia" w:hAnsiTheme="minorEastAsia" w:eastAsiaTheme="minorEastAsia"/>
          <w:color w:val="000000" w:themeColor="text1"/>
          <w14:textFill>
            <w14:solidFill>
              <w14:schemeClr w14:val="tx1"/>
            </w14:solidFill>
          </w14:textFill>
        </w:rPr>
        <w:t>3.1 供</w:t>
      </w:r>
      <w:r>
        <w:rPr>
          <w:rFonts w:hint="eastAsia" w:ascii="宋体" w:hAnsi="宋体" w:cs="宋体"/>
        </w:rPr>
        <w:t>货范围：详见清单</w:t>
      </w:r>
    </w:p>
    <w:p>
      <w:pPr>
        <w:spacing w:line="300" w:lineRule="auto"/>
        <w:ind w:firstLine="480" w:firstLineChars="200"/>
        <w:rPr>
          <w:rFonts w:cs="宋体" w:asciiTheme="minorEastAsia" w:hAnsiTheme="minorEastAsia" w:eastAsiaTheme="minorEastAsia"/>
          <w:color w:val="000000" w:themeColor="text1"/>
          <w14:textFill>
            <w14:solidFill>
              <w14:schemeClr w14:val="tx1"/>
            </w14:solidFill>
          </w14:textFill>
        </w:rPr>
      </w:pPr>
      <w:r>
        <w:rPr>
          <w:rFonts w:cs="宋体" w:asciiTheme="minorEastAsia" w:hAnsiTheme="minorEastAsia" w:eastAsiaTheme="minorEastAsia"/>
          <w:color w:val="000000" w:themeColor="text1"/>
          <w14:textFill>
            <w14:solidFill>
              <w14:schemeClr w14:val="tx1"/>
            </w14:solidFill>
          </w14:textFill>
        </w:rPr>
        <w:t xml:space="preserve"> 3.1.</w:t>
      </w:r>
      <w:r>
        <w:rPr>
          <w:rFonts w:hint="eastAsia" w:cs="宋体" w:asciiTheme="minorEastAsia" w:hAnsiTheme="minorEastAsia" w:eastAsiaTheme="minorEastAsia"/>
          <w:color w:val="000000" w:themeColor="text1"/>
          <w14:textFill>
            <w14:solidFill>
              <w14:schemeClr w14:val="tx1"/>
            </w14:solidFill>
          </w14:textFill>
        </w:rPr>
        <w:t>1设备招标清单</w:t>
      </w:r>
    </w:p>
    <w:p>
      <w:pPr>
        <w:pStyle w:val="40"/>
      </w:pPr>
    </w:p>
    <w:tbl>
      <w:tblPr>
        <w:tblStyle w:val="32"/>
        <w:tblW w:w="10595" w:type="dxa"/>
        <w:tblInd w:w="96" w:type="dxa"/>
        <w:tblLayout w:type="fixed"/>
        <w:tblCellMar>
          <w:top w:w="0" w:type="dxa"/>
          <w:left w:w="108" w:type="dxa"/>
          <w:bottom w:w="0" w:type="dxa"/>
          <w:right w:w="108" w:type="dxa"/>
        </w:tblCellMar>
      </w:tblPr>
      <w:tblGrid>
        <w:gridCol w:w="923"/>
        <w:gridCol w:w="1856"/>
        <w:gridCol w:w="3912"/>
        <w:gridCol w:w="728"/>
        <w:gridCol w:w="1464"/>
        <w:gridCol w:w="1712"/>
      </w:tblGrid>
      <w:tr>
        <w:tblPrEx>
          <w:tblCellMar>
            <w:top w:w="0" w:type="dxa"/>
            <w:left w:w="108" w:type="dxa"/>
            <w:bottom w:w="0" w:type="dxa"/>
            <w:right w:w="108" w:type="dxa"/>
          </w:tblCellMar>
        </w:tblPrEx>
        <w:trPr>
          <w:trHeight w:val="58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2"/>
              </w:rPr>
            </w:pPr>
            <w:r>
              <w:rPr>
                <w:rFonts w:hint="eastAsia" w:ascii="仿宋" w:hAnsi="仿宋" w:eastAsia="仿宋" w:cs="仿宋"/>
                <w:b/>
                <w:bCs/>
                <w:color w:val="000000"/>
                <w:sz w:val="22"/>
              </w:rPr>
              <w:t>序号</w:t>
            </w:r>
          </w:p>
        </w:tc>
        <w:tc>
          <w:tcPr>
            <w:tcW w:w="1856" w:type="dxa"/>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2"/>
              </w:rPr>
            </w:pPr>
            <w:r>
              <w:rPr>
                <w:rFonts w:hint="eastAsia" w:ascii="仿宋" w:hAnsi="仿宋" w:eastAsia="仿宋" w:cs="仿宋"/>
                <w:b/>
                <w:bCs/>
                <w:color w:val="000000"/>
                <w:sz w:val="22"/>
              </w:rPr>
              <w:t>名称</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2"/>
              </w:rPr>
            </w:pPr>
            <w:r>
              <w:rPr>
                <w:rFonts w:hint="eastAsia" w:ascii="仿宋" w:hAnsi="仿宋" w:eastAsia="仿宋" w:cs="仿宋"/>
                <w:b/>
                <w:bCs/>
                <w:color w:val="000000"/>
                <w:sz w:val="22"/>
              </w:rPr>
              <w:t>型号</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2"/>
              </w:rPr>
            </w:pPr>
            <w:r>
              <w:rPr>
                <w:rFonts w:hint="eastAsia" w:ascii="仿宋" w:hAnsi="仿宋" w:eastAsia="仿宋" w:cs="仿宋"/>
                <w:b/>
                <w:bCs/>
                <w:color w:val="000000"/>
                <w:sz w:val="22"/>
              </w:rPr>
              <w:t>单位</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2"/>
              </w:rPr>
            </w:pPr>
            <w:r>
              <w:rPr>
                <w:rFonts w:hint="eastAsia" w:ascii="仿宋" w:hAnsi="仿宋" w:eastAsia="仿宋" w:cs="仿宋"/>
                <w:b/>
                <w:bCs/>
                <w:color w:val="000000"/>
                <w:sz w:val="22"/>
              </w:rPr>
              <w:t>数量（台）</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2"/>
              </w:rPr>
            </w:pPr>
            <w:r>
              <w:rPr>
                <w:rFonts w:hint="eastAsia" w:ascii="仿宋" w:hAnsi="仿宋" w:eastAsia="仿宋" w:cs="仿宋"/>
                <w:b/>
                <w:bCs/>
                <w:color w:val="000000"/>
                <w:sz w:val="22"/>
              </w:rPr>
              <w:t>备注</w:t>
            </w:r>
          </w:p>
        </w:tc>
      </w:tr>
      <w:tr>
        <w:tblPrEx>
          <w:tblCellMar>
            <w:top w:w="0" w:type="dxa"/>
            <w:left w:w="108" w:type="dxa"/>
            <w:bottom w:w="0" w:type="dxa"/>
            <w:right w:w="108" w:type="dxa"/>
          </w:tblCellMar>
        </w:tblPrEx>
        <w:trPr>
          <w:trHeight w:val="602"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低压进线柜  AA1</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GGD-04(改)</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2</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无功补偿柜  AA2</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GGD-04(改) 75kVar</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3</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低压开关柜AA3/AA4</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2</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4</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锅炉循环泵(带锅炉循环泵变频柜)</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Q=160m3/h H=35m H2O,电机功率30kw  设备承压：1.0MPa</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3</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5</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锅炉补水泵（带锅炉补水泵变频柜1台）</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Q=10m3/h H=20m H2O,电机功率1.5kw  设备承压：1.0MPa</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2</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6</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一体化温度变送器 隔爆型</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量程范围:0-150°C, Pt100, M27*2 ,L=300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2</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7</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一体化温度变送器 隔爆型</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量程范围:0-100°C, Pt100, M27*2 ,L=150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2</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8</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一体化温度变送器 隔爆型</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量程范围:0-100°C, Pt100, M27*2 ,L=200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3</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9</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一体化温度变送器 隔爆型</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量程范围:（-50）-50°C, Pt100, M27*2 ,L=75</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10</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压力变送器  隔爆型</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1、精度等级:精度等级0.5%；2、量程范围:0-1.0MPa;3、输出信号:4-20mA 二线；5、防护等级:IP65；6过程连接外螺纹M20*1.5</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2</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11</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 xml:space="preserve">压力变送器  </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1、精度等级:精度等级0.5%；2、量程范围:0-1.0MPa;3、输出信号:4-20mA 二线；5、防护等级:IP65；6过程连接外螺纹M20*1.5</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12</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 xml:space="preserve">压力变送器  </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1、精度等级:精度等级0.5%；2、量程范围:0-0.4MPa;3、输出信号:4-20mA 二线；5、防护等级:IP65；6过程连接外螺纹M20*1.5</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13</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智能微差压变送器 隔爆型</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1、精度等级:精度等级0.5%；2、量程范围:0-2000Pa;3、输出信号:4-20mA 二线；4、电缆孔M20*1.5;5、防护等级:IP65；6过程连接外螺纹M20*1.5;7、防爆等级EXDIICT6</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2</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14</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 xml:space="preserve">差压变送器 </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1、精度等级:精度等级0.5%；2、量程范围:0-1.0MPa;3、输出信号:4-20mA 二线；4、防护等级:IP65；5过程连接外螺纹M20*1.5</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15</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PLC系统</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套</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15.1</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PLC控制器</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textAlignment w:val="bottom"/>
              <w:rPr>
                <w:rFonts w:ascii="宋体" w:hAnsi="宋体" w:cs="宋体"/>
                <w:color w:val="000000"/>
                <w:sz w:val="22"/>
              </w:rPr>
            </w:pPr>
            <w:r>
              <w:rPr>
                <w:rFonts w:hint="eastAsia" w:ascii="宋体" w:hAnsi="宋体" w:cs="宋体"/>
                <w:color w:val="000000"/>
                <w:sz w:val="22"/>
              </w:rPr>
              <w:t>编程软件</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套</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15.2</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监控软件</w:t>
            </w:r>
          </w:p>
        </w:tc>
        <w:tc>
          <w:tcPr>
            <w:tcW w:w="3912" w:type="dxa"/>
            <w:tcBorders>
              <w:top w:val="single" w:color="000000" w:sz="4" w:space="0"/>
              <w:left w:val="single" w:color="000000" w:sz="4" w:space="0"/>
              <w:bottom w:val="single" w:color="000000" w:sz="4" w:space="0"/>
              <w:right w:val="single" w:color="000000" w:sz="4" w:space="0"/>
            </w:tcBorders>
            <w:shd w:val="clear" w:color="auto" w:fill="auto"/>
          </w:tcPr>
          <w:p>
            <w:pPr>
              <w:widowControl/>
              <w:textAlignment w:val="top"/>
              <w:rPr>
                <w:rFonts w:ascii="宋体" w:hAnsi="宋体" w:cs="宋体"/>
                <w:color w:val="000000"/>
                <w:sz w:val="22"/>
              </w:rPr>
            </w:pPr>
            <w:r>
              <w:rPr>
                <w:rFonts w:hint="eastAsia" w:ascii="宋体" w:hAnsi="宋体" w:cs="宋体"/>
                <w:color w:val="000000"/>
                <w:sz w:val="22"/>
              </w:rPr>
              <w:t>通讯接口模块，支持带电拔插， 以太网接口，支持TCP/MODBUS协议 RS-485接口 支撑标准MODBUS</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套</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15.3</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通讯模块</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16通道数字输入，24VDC</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块</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2</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15.4</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DI模块</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16通道数字输入，晶体管输出，容量0.5A  支持带电拔插</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块</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4</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15.5</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DO模块</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8通道模拟量输入，16位分辨率</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块</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3</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15.6</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AI模块</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4通道模拟量输出，通道间隔离，14位分辨率；支持带电拔插</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块</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5</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15.7</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AO模块</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10A电源，24V</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块</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3</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15.8</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电源模块</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2100*1000*600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套</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15.9</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PLC柜</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8个10/100/1000Mbps  自适应以太网端口</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面</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 xml:space="preserve">15.10 </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交换器</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具备标准OPC接口</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15.11</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上位组态软件</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windows操作系统</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套</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 xml:space="preserve">15.12 </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操作台</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27~液晶</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套</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15.13</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显示器</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1200*800</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394"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 xml:space="preserve">15.14 </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计算机操作台</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2</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620"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15.15</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2"/>
              </w:rPr>
            </w:pPr>
            <w:r>
              <w:rPr>
                <w:rFonts w:hint="eastAsia" w:ascii="宋体" w:hAnsi="宋体" w:cs="宋体"/>
                <w:color w:val="000000"/>
                <w:sz w:val="22"/>
              </w:rPr>
              <w:t>自控设备配电开关及附件</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套</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p>
        </w:tc>
      </w:tr>
      <w:tr>
        <w:tblPrEx>
          <w:tblCellMar>
            <w:top w:w="0" w:type="dxa"/>
            <w:left w:w="108" w:type="dxa"/>
            <w:bottom w:w="0" w:type="dxa"/>
            <w:right w:w="108" w:type="dxa"/>
          </w:tblCellMar>
        </w:tblPrEx>
        <w:trPr>
          <w:trHeight w:val="466"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 xml:space="preserve">16 </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软水处理设备</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水处理量10t/h</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套</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406"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 xml:space="preserve">17 </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软水箱</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有效容积：8.1m3，不锈钢方形给水箱</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宋体" w:hAnsi="宋体" w:cs="宋体"/>
                <w:color w:val="000000"/>
                <w:szCs w:val="24"/>
              </w:rPr>
              <w:t>详见图纸</w:t>
            </w:r>
          </w:p>
        </w:tc>
      </w:tr>
      <w:tr>
        <w:tblPrEx>
          <w:tblCellMar>
            <w:top w:w="0" w:type="dxa"/>
            <w:left w:w="108" w:type="dxa"/>
            <w:bottom w:w="0" w:type="dxa"/>
            <w:right w:w="108" w:type="dxa"/>
          </w:tblCellMar>
        </w:tblPrEx>
        <w:trPr>
          <w:trHeight w:val="428" w:hRule="atLeast"/>
        </w:trPr>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 xml:space="preserve">18 </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 w:hAnsi="仿宋" w:eastAsia="仿宋" w:cs="仿宋"/>
                <w:color w:val="000000"/>
                <w:sz w:val="22"/>
              </w:rPr>
            </w:pPr>
            <w:r>
              <w:rPr>
                <w:rFonts w:hint="eastAsia" w:ascii="仿宋" w:hAnsi="仿宋" w:eastAsia="仿宋" w:cs="仿宋"/>
                <w:color w:val="000000"/>
                <w:sz w:val="22"/>
              </w:rPr>
              <w:t>直通除污器</w:t>
            </w:r>
          </w:p>
        </w:tc>
        <w:tc>
          <w:tcPr>
            <w:tcW w:w="39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rPr>
            </w:pPr>
            <w:r>
              <w:rPr>
                <w:rFonts w:hint="eastAsia" w:ascii="仿宋" w:hAnsi="仿宋" w:eastAsia="仿宋" w:cs="仿宋"/>
                <w:color w:val="000000"/>
                <w:sz w:val="22"/>
              </w:rPr>
              <w:t>满足使用要求，其他详见设计图纸</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台</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rPr>
            </w:pPr>
            <w:r>
              <w:rPr>
                <w:rFonts w:hint="eastAsia" w:ascii="宋体" w:hAnsi="宋体" w:cs="宋体"/>
                <w:color w:val="000000"/>
                <w:szCs w:val="24"/>
              </w:rPr>
              <w:t>详见图纸</w:t>
            </w:r>
          </w:p>
        </w:tc>
      </w:tr>
    </w:tbl>
    <w:p>
      <w:pPr>
        <w:pStyle w:val="42"/>
      </w:pPr>
    </w:p>
    <w:p>
      <w:pPr>
        <w:spacing w:line="300" w:lineRule="auto"/>
        <w:ind w:firstLine="480" w:firstLineChars="200"/>
        <w:rPr>
          <w:rFonts w:cs="宋体" w:asciiTheme="minorEastAsia" w:hAnsiTheme="minorEastAsia" w:eastAsiaTheme="minorEastAsia"/>
          <w:color w:val="000000" w:themeColor="text1"/>
          <w14:textFill>
            <w14:solidFill>
              <w14:schemeClr w14:val="tx1"/>
            </w14:solidFill>
          </w14:textFill>
        </w:rPr>
      </w:pPr>
    </w:p>
    <w:p>
      <w:pPr>
        <w:spacing w:line="300" w:lineRule="auto"/>
      </w:pPr>
      <w:bookmarkStart w:id="62" w:name="_Toc7968"/>
      <w:r>
        <w:rPr>
          <w:rFonts w:hint="eastAsia"/>
        </w:rPr>
        <w:t>3.2</w:t>
      </w:r>
      <w:r>
        <w:t xml:space="preserve"> </w:t>
      </w:r>
      <w:r>
        <w:rPr>
          <w:rFonts w:hint="eastAsia"/>
        </w:rPr>
        <w:t>交货期及交货地址</w:t>
      </w:r>
      <w:bookmarkEnd w:id="62"/>
    </w:p>
    <w:p>
      <w:pPr>
        <w:pBdr>
          <w:top w:val="none" w:color="auto" w:sz="0" w:space="0"/>
          <w:left w:val="none" w:color="auto" w:sz="0" w:space="0"/>
          <w:bottom w:val="none" w:color="auto" w:sz="0" w:space="0"/>
          <w:right w:val="none" w:color="auto" w:sz="0" w:space="0"/>
          <w:between w:val="none" w:color="auto" w:sz="0" w:space="0"/>
        </w:pBdr>
        <w:spacing w:line="300" w:lineRule="auto"/>
        <w:ind w:firstLine="480" w:firstLineChars="200"/>
        <w:jc w:val="both"/>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交货期：从下订单开始交货30天内送货到指定地点。</w:t>
      </w:r>
    </w:p>
    <w:p>
      <w:pPr>
        <w:pBdr>
          <w:top w:val="none" w:color="auto" w:sz="0" w:space="0"/>
          <w:left w:val="none" w:color="auto" w:sz="0" w:space="0"/>
          <w:bottom w:val="none" w:color="auto" w:sz="0" w:space="0"/>
          <w:right w:val="none" w:color="auto" w:sz="0" w:space="0"/>
          <w:between w:val="none" w:color="auto" w:sz="0" w:space="0"/>
        </w:pBdr>
        <w:spacing w:line="300" w:lineRule="auto"/>
        <w:ind w:firstLine="480" w:firstLineChars="200"/>
        <w:jc w:val="both"/>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交货地点：</w:t>
      </w:r>
      <w:r>
        <w:rPr>
          <w:rFonts w:hint="eastAsia" w:ascii="宋体" w:hAnsi="宋体" w:cs="宋体" w:eastAsiaTheme="minorEastAsia"/>
          <w:szCs w:val="24"/>
        </w:rPr>
        <w:t>黄石市湖北工程职业学院锅炉房施工现场</w:t>
      </w:r>
      <w:r>
        <w:rPr>
          <w:rFonts w:hint="eastAsia" w:asciiTheme="minorEastAsia" w:hAnsiTheme="minorEastAsia" w:eastAsiaTheme="minorEastAsia"/>
          <w:color w:val="000000" w:themeColor="text1"/>
          <w14:textFill>
            <w14:solidFill>
              <w14:schemeClr w14:val="tx1"/>
            </w14:solidFill>
          </w14:textFill>
        </w:rPr>
        <w:t>。</w:t>
      </w:r>
    </w:p>
    <w:p>
      <w:pPr>
        <w:pStyle w:val="5"/>
      </w:pPr>
      <w:bookmarkStart w:id="63" w:name="_Toc17005"/>
      <w:bookmarkStart w:id="64" w:name="_Toc32238"/>
      <w:bookmarkStart w:id="65" w:name="_Toc922"/>
      <w:bookmarkStart w:id="66" w:name="_Toc21232"/>
      <w:bookmarkStart w:id="67" w:name="_Toc70345010"/>
      <w:bookmarkStart w:id="68" w:name="_Toc32276"/>
      <w:bookmarkStart w:id="69" w:name="_Toc2302"/>
      <w:r>
        <w:rPr>
          <w:rFonts w:hint="eastAsia"/>
        </w:rPr>
        <w:t>4.投标人资格要求</w:t>
      </w:r>
      <w:bookmarkEnd w:id="52"/>
      <w:bookmarkEnd w:id="63"/>
      <w:bookmarkEnd w:id="64"/>
      <w:bookmarkEnd w:id="65"/>
      <w:bookmarkEnd w:id="66"/>
      <w:bookmarkEnd w:id="67"/>
      <w:bookmarkEnd w:id="68"/>
      <w:bookmarkEnd w:id="69"/>
    </w:p>
    <w:p>
      <w:pPr>
        <w:spacing w:line="300" w:lineRule="auto"/>
        <w:ind w:firstLine="480" w:firstLineChars="200"/>
        <w:jc w:val="both"/>
        <w:rPr>
          <w:rFonts w:cs="宋体" w:asciiTheme="minorEastAsia" w:hAnsiTheme="minorEastAsia" w:eastAsiaTheme="minorEastAsia"/>
          <w:b/>
          <w:bCs/>
          <w:sz w:val="21"/>
          <w:szCs w:val="21"/>
        </w:rPr>
      </w:pPr>
      <w:bookmarkStart w:id="70" w:name="_Toc70345011"/>
      <w:bookmarkStart w:id="71" w:name="_Toc24928"/>
      <w:bookmarkStart w:id="72" w:name="_Toc18643"/>
      <w:bookmarkStart w:id="73" w:name="_Toc31235"/>
      <w:bookmarkStart w:id="74" w:name="_Toc25364"/>
      <w:r>
        <w:rPr>
          <w:rFonts w:hint="eastAsia" w:cs="黑体" w:asciiTheme="minorEastAsia" w:hAnsiTheme="minorEastAsia" w:eastAsiaTheme="minorEastAsia"/>
          <w:color w:val="000000" w:themeColor="text1"/>
          <w:kern w:val="2"/>
          <w14:textFill>
            <w14:solidFill>
              <w14:schemeClr w14:val="tx1"/>
            </w14:solidFill>
          </w14:textFill>
        </w:rPr>
        <w:t>4</w:t>
      </w:r>
      <w:r>
        <w:rPr>
          <w:rFonts w:cs="黑体" w:asciiTheme="minorEastAsia" w:hAnsiTheme="minorEastAsia" w:eastAsiaTheme="minorEastAsia"/>
          <w:color w:val="000000" w:themeColor="text1"/>
          <w:kern w:val="2"/>
          <w14:textFill>
            <w14:solidFill>
              <w14:schemeClr w14:val="tx1"/>
            </w14:solidFill>
          </w14:textFill>
        </w:rPr>
        <w:t xml:space="preserve">.1 </w:t>
      </w:r>
      <w:r>
        <w:rPr>
          <w:rFonts w:hint="eastAsia" w:cs="宋体" w:asciiTheme="minorEastAsia" w:hAnsiTheme="minorEastAsia" w:eastAsiaTheme="minorEastAsia"/>
          <w:b/>
          <w:bCs/>
          <w:sz w:val="21"/>
          <w:szCs w:val="21"/>
        </w:rPr>
        <w:t>资格要求</w:t>
      </w:r>
    </w:p>
    <w:p>
      <w:pPr>
        <w:spacing w:line="300" w:lineRule="auto"/>
        <w:ind w:firstLine="480" w:firstLineChars="200"/>
        <w:jc w:val="both"/>
        <w:rPr>
          <w:rFonts w:cs="黑体" w:asciiTheme="minorEastAsia" w:hAnsiTheme="minorEastAsia" w:eastAsiaTheme="minorEastAsia"/>
          <w:color w:val="000000" w:themeColor="text1"/>
          <w:kern w:val="2"/>
          <w14:textFill>
            <w14:solidFill>
              <w14:schemeClr w14:val="tx1"/>
            </w14:solidFill>
          </w14:textFill>
        </w:rPr>
      </w:pPr>
      <w:r>
        <w:rPr>
          <w:rFonts w:hint="eastAsia" w:cs="宋体" w:asciiTheme="minorEastAsia" w:hAnsiTheme="minorEastAsia" w:eastAsiaTheme="minorEastAsia"/>
          <w:szCs w:val="24"/>
        </w:rPr>
        <w:t>（1）</w:t>
      </w:r>
      <w:r>
        <w:rPr>
          <w:rFonts w:hint="eastAsia" w:asciiTheme="minorEastAsia" w:hAnsiTheme="minorEastAsia" w:eastAsiaTheme="minorEastAsia"/>
          <w:color w:val="000000" w:themeColor="text1"/>
          <w14:textFill>
            <w14:solidFill>
              <w14:schemeClr w14:val="tx1"/>
            </w14:solidFill>
          </w14:textFill>
        </w:rPr>
        <w:t>资质要求：投标人须具有有效的营业执照、组织机构代码证、税务登记证（如果三证合一只需要提供营业执照）；投标人必须是具有独立承担民事责任能力的在中华人民共和国境内注册的法人。</w:t>
      </w:r>
    </w:p>
    <w:p>
      <w:pPr>
        <w:spacing w:line="300" w:lineRule="auto"/>
        <w:ind w:firstLine="480" w:firstLineChars="200"/>
        <w:jc w:val="both"/>
        <w:rPr>
          <w:rFonts w:asciiTheme="minorEastAsia" w:hAnsiTheme="minorEastAsia" w:eastAsiaTheme="minorEastAsia"/>
        </w:rPr>
      </w:pPr>
      <w:r>
        <w:rPr>
          <w:rFonts w:hint="eastAsia" w:cs="宋体" w:asciiTheme="minorEastAsia" w:hAnsiTheme="minorEastAsia" w:eastAsiaTheme="minorEastAsia"/>
          <w:szCs w:val="24"/>
        </w:rPr>
        <w:t>（2）</w:t>
      </w:r>
      <w:r>
        <w:rPr>
          <w:rFonts w:asciiTheme="minorEastAsia" w:hAnsiTheme="minorEastAsia" w:eastAsiaTheme="minorEastAsia"/>
        </w:rPr>
        <w:t>财务</w:t>
      </w:r>
      <w:r>
        <w:rPr>
          <w:rFonts w:hint="eastAsia" w:asciiTheme="minorEastAsia" w:hAnsiTheme="minorEastAsia" w:eastAsiaTheme="minorEastAsia"/>
        </w:rPr>
        <w:t>及信誉</w:t>
      </w:r>
      <w:r>
        <w:rPr>
          <w:rFonts w:asciiTheme="minorEastAsia" w:hAnsiTheme="minorEastAsia" w:eastAsiaTheme="minorEastAsia"/>
        </w:rPr>
        <w:t>要求：</w:t>
      </w:r>
      <w:r>
        <w:rPr>
          <w:rFonts w:hint="eastAsia" w:asciiTheme="minorEastAsia" w:hAnsiTheme="minorEastAsia" w:eastAsiaTheme="minorEastAsia"/>
        </w:rPr>
        <w:t>投标人应具有良好的银行资信和商业信誉</w:t>
      </w:r>
      <w:r>
        <w:rPr>
          <w:rFonts w:asciiTheme="minorEastAsia" w:hAnsiTheme="minorEastAsia" w:eastAsiaTheme="minorEastAsia"/>
        </w:rPr>
        <w:t>,没有处于被责令停业，财产被接管、冻结及破产状态，财务状况良好，无经营、财务状况发生较大变化情况可能影响其履约能力，且在最近五年内没有骗取中标和严重违约及重大工程质量问题。</w:t>
      </w:r>
    </w:p>
    <w:p>
      <w:pPr>
        <w:spacing w:line="300" w:lineRule="auto"/>
        <w:ind w:firstLine="480" w:firstLineChars="200"/>
        <w:jc w:val="both"/>
        <w:rPr>
          <w:rFonts w:cs="黑体" w:asciiTheme="minorEastAsia" w:hAnsiTheme="minorEastAsia" w:eastAsiaTheme="minorEastAsia"/>
          <w:color w:val="000000" w:themeColor="text1"/>
          <w:kern w:val="2"/>
          <w14:textFill>
            <w14:solidFill>
              <w14:schemeClr w14:val="tx1"/>
            </w14:solidFill>
          </w14:textFill>
        </w:rPr>
      </w:pPr>
      <w:r>
        <w:rPr>
          <w:rFonts w:hint="eastAsia" w:cs="宋体" w:asciiTheme="minorEastAsia" w:hAnsiTheme="minorEastAsia" w:eastAsiaTheme="minorEastAsia"/>
          <w:szCs w:val="24"/>
        </w:rPr>
        <w:t>（3）</w:t>
      </w:r>
      <w:r>
        <w:rPr>
          <w:rFonts w:hint="eastAsia" w:asciiTheme="minorEastAsia" w:hAnsiTheme="minorEastAsia" w:eastAsiaTheme="minorEastAsia"/>
          <w:color w:val="000000" w:themeColor="text1"/>
          <w14:textFill>
            <w14:solidFill>
              <w14:schemeClr w14:val="tx1"/>
            </w14:solidFill>
          </w14:textFill>
        </w:rPr>
        <w:t>业绩要求：近三年应具有两项物资设备销售的供货业绩，合同额不低于100万。提供合同扫描件或者用户意见反馈。</w:t>
      </w:r>
    </w:p>
    <w:p>
      <w:pPr>
        <w:spacing w:line="300" w:lineRule="auto"/>
        <w:ind w:firstLine="480" w:firstLineChars="200"/>
        <w:jc w:val="both"/>
        <w:rPr>
          <w:rFonts w:cs="黑体" w:asciiTheme="minorEastAsia" w:hAnsiTheme="minorEastAsia" w:eastAsiaTheme="minorEastAsia"/>
          <w:color w:val="000000" w:themeColor="text1"/>
          <w:kern w:val="2"/>
          <w14:textFill>
            <w14:solidFill>
              <w14:schemeClr w14:val="tx1"/>
            </w14:solidFill>
          </w14:textFill>
        </w:rPr>
      </w:pPr>
      <w:r>
        <w:rPr>
          <w:rFonts w:hint="eastAsia" w:cs="黑体" w:asciiTheme="minorEastAsia" w:hAnsiTheme="minorEastAsia" w:eastAsiaTheme="minorEastAsia"/>
          <w:color w:val="000000" w:themeColor="text1"/>
          <w:kern w:val="2"/>
          <w14:textFill>
            <w14:solidFill>
              <w14:schemeClr w14:val="tx1"/>
            </w14:solidFill>
          </w14:textFill>
        </w:rPr>
        <w:t>（4）本项目不接受联合体参与投标。</w:t>
      </w:r>
    </w:p>
    <w:p>
      <w:pPr>
        <w:spacing w:line="300" w:lineRule="auto"/>
        <w:ind w:firstLine="480" w:firstLineChars="200"/>
        <w:jc w:val="both"/>
        <w:rPr>
          <w:rFonts w:cs="黑体" w:asciiTheme="minorEastAsia" w:hAnsiTheme="minorEastAsia" w:eastAsiaTheme="minorEastAsia"/>
          <w:color w:val="000000" w:themeColor="text1"/>
          <w:kern w:val="2"/>
          <w14:textFill>
            <w14:solidFill>
              <w14:schemeClr w14:val="tx1"/>
            </w14:solidFill>
          </w14:textFill>
        </w:rPr>
      </w:pPr>
      <w:r>
        <w:rPr>
          <w:rFonts w:hint="eastAsia" w:cs="黑体" w:asciiTheme="minorEastAsia" w:hAnsiTheme="minorEastAsia" w:eastAsiaTheme="minorEastAsia"/>
          <w:color w:val="000000" w:themeColor="text1"/>
          <w:kern w:val="2"/>
          <w14:textFill>
            <w14:solidFill>
              <w14:schemeClr w14:val="tx1"/>
            </w14:solidFill>
          </w14:textFill>
        </w:rPr>
        <w:t>（5）法律、行政法规规定的其他条件。</w:t>
      </w:r>
    </w:p>
    <w:p>
      <w:pPr>
        <w:spacing w:line="300" w:lineRule="auto"/>
      </w:pPr>
      <w:bookmarkStart w:id="75" w:name="_Toc555035255_WPSOffice_Level3"/>
      <w:r>
        <w:rPr>
          <w:rFonts w:hint="eastAsia"/>
        </w:rPr>
        <w:t>注：投标人须在投标文件中提供上述条款的证明材料复印件加盖</w:t>
      </w:r>
      <w:bookmarkEnd w:id="75"/>
      <w:bookmarkStart w:id="76" w:name="_Toc1956051864_WPSOffice_Level3"/>
      <w:r>
        <w:rPr>
          <w:rFonts w:hint="eastAsia"/>
        </w:rPr>
        <w:t>公章，否则评标委员会有权否决其投标。</w:t>
      </w:r>
      <w:bookmarkEnd w:id="76"/>
    </w:p>
    <w:p>
      <w:pPr>
        <w:pStyle w:val="5"/>
      </w:pPr>
      <w:bookmarkStart w:id="77" w:name="_Toc23624"/>
      <w:r>
        <w:rPr>
          <w:rFonts w:hint="eastAsia"/>
        </w:rPr>
        <w:t>5</w:t>
      </w:r>
      <w:r>
        <w:t>.</w:t>
      </w:r>
      <w:r>
        <w:rPr>
          <w:rFonts w:hint="eastAsia"/>
        </w:rPr>
        <w:t>招标文件的获取</w:t>
      </w:r>
      <w:bookmarkEnd w:id="70"/>
      <w:bookmarkEnd w:id="71"/>
      <w:bookmarkEnd w:id="72"/>
      <w:bookmarkEnd w:id="73"/>
      <w:bookmarkEnd w:id="74"/>
      <w:bookmarkEnd w:id="77"/>
    </w:p>
    <w:p>
      <w:pPr>
        <w:spacing w:line="300" w:lineRule="auto"/>
        <w:ind w:firstLine="480" w:firstLineChars="200"/>
        <w:rPr>
          <w:rFonts w:cs="黑体" w:asciiTheme="minorEastAsia" w:hAnsiTheme="minorEastAsia" w:eastAsiaTheme="minorEastAsia"/>
          <w:color w:val="000000" w:themeColor="text1"/>
          <w:kern w:val="2"/>
          <w14:textFill>
            <w14:solidFill>
              <w14:schemeClr w14:val="tx1"/>
            </w14:solidFill>
          </w14:textFill>
        </w:rPr>
      </w:pPr>
      <w:r>
        <w:rPr>
          <w:rFonts w:hint="eastAsia" w:cs="黑体" w:asciiTheme="minorEastAsia" w:hAnsiTheme="minorEastAsia" w:eastAsiaTheme="minorEastAsia"/>
          <w:color w:val="000000" w:themeColor="text1"/>
          <w:kern w:val="2"/>
          <w14:textFill>
            <w14:solidFill>
              <w14:schemeClr w14:val="tx1"/>
            </w14:solidFill>
          </w14:textFill>
        </w:rPr>
        <w:t>5.1</w:t>
      </w:r>
      <w:r>
        <w:rPr>
          <w:rFonts w:cs="黑体" w:asciiTheme="minorEastAsia" w:hAnsiTheme="minorEastAsia" w:eastAsiaTheme="minorEastAsia"/>
          <w:color w:val="000000" w:themeColor="text1"/>
          <w:kern w:val="2"/>
          <w14:textFill>
            <w14:solidFill>
              <w14:schemeClr w14:val="tx1"/>
            </w14:solidFill>
          </w14:textFill>
        </w:rPr>
        <w:t xml:space="preserve"> 凡有意参加投标者，请于</w:t>
      </w:r>
      <w:r>
        <w:rPr>
          <w:rFonts w:hint="eastAsia" w:cs="黑体" w:asciiTheme="minorEastAsia" w:hAnsiTheme="minorEastAsia" w:eastAsiaTheme="minorEastAsia"/>
          <w:color w:val="000000" w:themeColor="text1"/>
          <w:kern w:val="2"/>
          <w:u w:val="single"/>
          <w14:textFill>
            <w14:solidFill>
              <w14:schemeClr w14:val="tx1"/>
            </w14:solidFill>
          </w14:textFill>
        </w:rPr>
        <w:t>2021</w:t>
      </w:r>
      <w:r>
        <w:rPr>
          <w:rFonts w:hint="eastAsia" w:cs="黑体" w:asciiTheme="minorEastAsia" w:hAnsiTheme="minorEastAsia" w:eastAsiaTheme="minorEastAsia"/>
          <w:color w:val="000000" w:themeColor="text1"/>
          <w:kern w:val="2"/>
          <w14:textFill>
            <w14:solidFill>
              <w14:schemeClr w14:val="tx1"/>
            </w14:solidFill>
          </w14:textFill>
        </w:rPr>
        <w:t>年</w:t>
      </w:r>
      <w:r>
        <w:rPr>
          <w:rFonts w:hint="eastAsia" w:cs="黑体" w:asciiTheme="minorEastAsia" w:hAnsiTheme="minorEastAsia" w:eastAsiaTheme="minorEastAsia"/>
          <w:color w:val="000000" w:themeColor="text1"/>
          <w:kern w:val="2"/>
          <w:u w:val="single"/>
          <w14:textFill>
            <w14:solidFill>
              <w14:schemeClr w14:val="tx1"/>
            </w14:solidFill>
          </w14:textFill>
        </w:rPr>
        <w:t>11</w:t>
      </w:r>
      <w:r>
        <w:rPr>
          <w:rFonts w:hint="eastAsia" w:cs="黑体" w:asciiTheme="minorEastAsia" w:hAnsiTheme="minorEastAsia" w:eastAsiaTheme="minorEastAsia"/>
          <w:color w:val="000000" w:themeColor="text1"/>
          <w:kern w:val="2"/>
          <w14:textFill>
            <w14:solidFill>
              <w14:schemeClr w14:val="tx1"/>
            </w14:solidFill>
          </w14:textFill>
        </w:rPr>
        <w:t>月</w:t>
      </w:r>
      <w:r>
        <w:rPr>
          <w:rFonts w:hint="eastAsia" w:cs="黑体" w:asciiTheme="minorEastAsia" w:hAnsiTheme="minorEastAsia" w:eastAsiaTheme="minorEastAsia"/>
          <w:color w:val="000000" w:themeColor="text1"/>
          <w:kern w:val="2"/>
          <w:u w:val="single"/>
          <w14:textFill>
            <w14:solidFill>
              <w14:schemeClr w14:val="tx1"/>
            </w14:solidFill>
          </w14:textFill>
        </w:rPr>
        <w:t>1</w:t>
      </w:r>
      <w:r>
        <w:rPr>
          <w:rFonts w:hint="eastAsia" w:cs="黑体" w:asciiTheme="minorEastAsia" w:hAnsiTheme="minorEastAsia" w:eastAsiaTheme="minorEastAsia"/>
          <w:color w:val="000000" w:themeColor="text1"/>
          <w:kern w:val="2"/>
          <w:u w:val="single"/>
          <w:lang w:val="en-US" w:eastAsia="zh-CN"/>
          <w14:textFill>
            <w14:solidFill>
              <w14:schemeClr w14:val="tx1"/>
            </w14:solidFill>
          </w14:textFill>
        </w:rPr>
        <w:t>8</w:t>
      </w:r>
      <w:r>
        <w:rPr>
          <w:rFonts w:hint="eastAsia" w:cs="黑体" w:asciiTheme="minorEastAsia" w:hAnsiTheme="minorEastAsia" w:eastAsiaTheme="minorEastAsia"/>
          <w:color w:val="000000" w:themeColor="text1"/>
          <w:kern w:val="2"/>
          <w14:textFill>
            <w14:solidFill>
              <w14:schemeClr w14:val="tx1"/>
            </w14:solidFill>
          </w14:textFill>
        </w:rPr>
        <w:t>日</w:t>
      </w:r>
      <w:r>
        <w:rPr>
          <w:rFonts w:hint="eastAsia" w:cs="黑体" w:asciiTheme="minorEastAsia" w:hAnsiTheme="minorEastAsia" w:eastAsiaTheme="minorEastAsia"/>
          <w:color w:val="000000" w:themeColor="text1"/>
          <w:kern w:val="2"/>
          <w:u w:val="single"/>
          <w14:textFill>
            <w14:solidFill>
              <w14:schemeClr w14:val="tx1"/>
            </w14:solidFill>
          </w14:textFill>
        </w:rPr>
        <w:t>1</w:t>
      </w:r>
      <w:r>
        <w:rPr>
          <w:rFonts w:hint="eastAsia" w:cs="黑体" w:asciiTheme="minorEastAsia" w:hAnsiTheme="minorEastAsia" w:eastAsiaTheme="minorEastAsia"/>
          <w:color w:val="000000" w:themeColor="text1"/>
          <w:kern w:val="2"/>
          <w:u w:val="single"/>
          <w:lang w:val="en-US" w:eastAsia="zh-CN"/>
          <w14:textFill>
            <w14:solidFill>
              <w14:schemeClr w14:val="tx1"/>
            </w14:solidFill>
          </w14:textFill>
        </w:rPr>
        <w:t>4</w:t>
      </w:r>
      <w:r>
        <w:rPr>
          <w:rFonts w:hint="eastAsia" w:cs="黑体" w:asciiTheme="minorEastAsia" w:hAnsiTheme="minorEastAsia" w:eastAsiaTheme="minorEastAsia"/>
          <w:color w:val="000000" w:themeColor="text1"/>
          <w:kern w:val="2"/>
          <w:u w:val="single"/>
          <w14:textFill>
            <w14:solidFill>
              <w14:schemeClr w14:val="tx1"/>
            </w14:solidFill>
          </w14:textFill>
        </w:rPr>
        <w:t xml:space="preserve">：00 </w:t>
      </w:r>
      <w:r>
        <w:rPr>
          <w:rFonts w:cs="黑体" w:asciiTheme="minorEastAsia" w:hAnsiTheme="minorEastAsia" w:eastAsiaTheme="minorEastAsia"/>
          <w:color w:val="000000" w:themeColor="text1"/>
          <w:kern w:val="2"/>
          <w:u w:val="single"/>
          <w14:textFill>
            <w14:solidFill>
              <w14:schemeClr w14:val="tx1"/>
            </w14:solidFill>
          </w14:textFill>
        </w:rPr>
        <w:t>时</w:t>
      </w:r>
      <w:r>
        <w:rPr>
          <w:rFonts w:cs="黑体" w:asciiTheme="minorEastAsia" w:hAnsiTheme="minorEastAsia" w:eastAsiaTheme="minorEastAsia"/>
          <w:color w:val="000000" w:themeColor="text1"/>
          <w:kern w:val="2"/>
          <w14:textFill>
            <w14:solidFill>
              <w14:schemeClr w14:val="tx1"/>
            </w14:solidFill>
          </w14:textFill>
        </w:rPr>
        <w:t>至</w:t>
      </w:r>
      <w:r>
        <w:rPr>
          <w:rFonts w:hint="eastAsia" w:cs="黑体" w:asciiTheme="minorEastAsia" w:hAnsiTheme="minorEastAsia" w:eastAsiaTheme="minorEastAsia"/>
          <w:color w:val="000000" w:themeColor="text1"/>
          <w:kern w:val="2"/>
          <w:u w:val="single"/>
          <w14:textFill>
            <w14:solidFill>
              <w14:schemeClr w14:val="tx1"/>
            </w14:solidFill>
          </w14:textFill>
        </w:rPr>
        <w:t xml:space="preserve"> 2021 </w:t>
      </w:r>
      <w:r>
        <w:rPr>
          <w:rFonts w:cs="黑体" w:asciiTheme="minorEastAsia" w:hAnsiTheme="minorEastAsia" w:eastAsiaTheme="minorEastAsia"/>
          <w:color w:val="000000" w:themeColor="text1"/>
          <w:kern w:val="2"/>
          <w14:textFill>
            <w14:solidFill>
              <w14:schemeClr w14:val="tx1"/>
            </w14:solidFill>
          </w14:textFill>
        </w:rPr>
        <w:t>年</w:t>
      </w:r>
      <w:r>
        <w:rPr>
          <w:rFonts w:hint="eastAsia" w:cs="黑体" w:asciiTheme="minorEastAsia" w:hAnsiTheme="minorEastAsia" w:eastAsiaTheme="minorEastAsia"/>
          <w:color w:val="000000" w:themeColor="text1"/>
          <w:kern w:val="2"/>
          <w:u w:val="single"/>
          <w14:textFill>
            <w14:solidFill>
              <w14:schemeClr w14:val="tx1"/>
            </w14:solidFill>
          </w14:textFill>
        </w:rPr>
        <w:t xml:space="preserve">11 </w:t>
      </w:r>
      <w:r>
        <w:rPr>
          <w:rFonts w:hint="eastAsia" w:cs="黑体" w:asciiTheme="minorEastAsia" w:hAnsiTheme="minorEastAsia" w:eastAsiaTheme="minorEastAsia"/>
          <w:color w:val="000000" w:themeColor="text1"/>
          <w:kern w:val="2"/>
          <w14:textFill>
            <w14:solidFill>
              <w14:schemeClr w14:val="tx1"/>
            </w14:solidFill>
          </w14:textFill>
        </w:rPr>
        <w:t>月</w:t>
      </w:r>
      <w:r>
        <w:rPr>
          <w:rFonts w:hint="eastAsia" w:cs="黑体" w:asciiTheme="minorEastAsia" w:hAnsiTheme="minorEastAsia" w:eastAsiaTheme="minorEastAsia"/>
          <w:color w:val="000000" w:themeColor="text1"/>
          <w:kern w:val="2"/>
          <w:u w:val="single"/>
          <w:lang w:val="en-US" w:eastAsia="zh-CN"/>
          <w14:textFill>
            <w14:solidFill>
              <w14:schemeClr w14:val="tx1"/>
            </w14:solidFill>
          </w14:textFill>
        </w:rPr>
        <w:t>22</w:t>
      </w:r>
      <w:r>
        <w:rPr>
          <w:rFonts w:hint="eastAsia" w:cs="黑体" w:asciiTheme="minorEastAsia" w:hAnsiTheme="minorEastAsia" w:eastAsiaTheme="minorEastAsia"/>
          <w:color w:val="000000" w:themeColor="text1"/>
          <w:kern w:val="2"/>
          <w14:textFill>
            <w14:solidFill>
              <w14:schemeClr w14:val="tx1"/>
            </w14:solidFill>
          </w14:textFill>
        </w:rPr>
        <w:t>日</w:t>
      </w:r>
      <w:r>
        <w:rPr>
          <w:rFonts w:hint="eastAsia" w:cs="黑体" w:asciiTheme="minorEastAsia" w:hAnsiTheme="minorEastAsia" w:eastAsiaTheme="minorEastAsia"/>
          <w:color w:val="000000" w:themeColor="text1"/>
          <w:kern w:val="2"/>
          <w:u w:val="single"/>
          <w14:textFill>
            <w14:solidFill>
              <w14:schemeClr w14:val="tx1"/>
            </w14:solidFill>
          </w14:textFill>
        </w:rPr>
        <w:t>14：30</w:t>
      </w:r>
      <w:r>
        <w:rPr>
          <w:rFonts w:cs="黑体" w:asciiTheme="minorEastAsia" w:hAnsiTheme="minorEastAsia" w:eastAsiaTheme="minorEastAsia"/>
          <w:color w:val="000000" w:themeColor="text1"/>
          <w:kern w:val="2"/>
          <w14:textFill>
            <w14:solidFill>
              <w14:schemeClr w14:val="tx1"/>
            </w14:solidFill>
          </w14:textFill>
        </w:rPr>
        <w:t>时(北京时间，下同)，登录</w:t>
      </w:r>
      <w:r>
        <w:rPr>
          <w:rFonts w:cs="黑体" w:asciiTheme="minorEastAsia" w:hAnsiTheme="minorEastAsia" w:eastAsiaTheme="minorEastAsia"/>
          <w:color w:val="000000" w:themeColor="text1"/>
          <w:kern w:val="2"/>
          <w:u w:val="single"/>
          <w14:textFill>
            <w14:solidFill>
              <w14:schemeClr w14:val="tx1"/>
            </w14:solidFill>
          </w14:textFill>
        </w:rPr>
        <w:t xml:space="preserve"> </w:t>
      </w:r>
      <w:r>
        <w:rPr>
          <w:rFonts w:hint="eastAsia" w:cs="黑体" w:asciiTheme="minorEastAsia" w:hAnsiTheme="minorEastAsia" w:eastAsiaTheme="minorEastAsia"/>
          <w:color w:val="000000" w:themeColor="text1"/>
          <w:kern w:val="2"/>
          <w:u w:val="single"/>
          <w14:textFill>
            <w14:solidFill>
              <w14:schemeClr w14:val="tx1"/>
            </w14:solidFill>
          </w14:textFill>
        </w:rPr>
        <w:t>黄石市城发建设有限公司http://www.hscfjs.com/</w:t>
      </w:r>
      <w:r>
        <w:rPr>
          <w:rFonts w:cs="黑体" w:asciiTheme="minorEastAsia" w:hAnsiTheme="minorEastAsia" w:eastAsiaTheme="minorEastAsia"/>
          <w:color w:val="000000" w:themeColor="text1"/>
          <w:kern w:val="2"/>
          <w14:textFill>
            <w14:solidFill>
              <w14:schemeClr w14:val="tx1"/>
            </w14:solidFill>
          </w14:textFill>
        </w:rPr>
        <w:t>下载电子招标文件。</w:t>
      </w:r>
    </w:p>
    <w:p>
      <w:pPr>
        <w:spacing w:line="300" w:lineRule="auto"/>
        <w:ind w:firstLine="480" w:firstLineChars="200"/>
        <w:rPr>
          <w:rFonts w:asciiTheme="minorEastAsia" w:hAnsiTheme="minorEastAsia" w:eastAsiaTheme="minorEastAsia"/>
          <w:color w:val="000000" w:themeColor="text1"/>
          <w14:textFill>
            <w14:solidFill>
              <w14:schemeClr w14:val="tx1"/>
            </w14:solidFill>
          </w14:textFill>
        </w:rPr>
      </w:pPr>
      <w:r>
        <w:rPr>
          <w:rFonts w:hint="eastAsia" w:cs="黑体" w:asciiTheme="minorEastAsia" w:hAnsiTheme="minorEastAsia" w:eastAsiaTheme="minorEastAsia"/>
          <w:color w:val="000000" w:themeColor="text1"/>
          <w:kern w:val="2"/>
          <w:lang w:bidi="zh-CN"/>
          <w14:textFill>
            <w14:solidFill>
              <w14:schemeClr w14:val="tx1"/>
            </w14:solidFill>
          </w14:textFill>
        </w:rPr>
        <w:t>5.</w:t>
      </w:r>
      <w:r>
        <w:rPr>
          <w:rFonts w:cs="黑体" w:asciiTheme="minorEastAsia" w:hAnsiTheme="minorEastAsia" w:eastAsiaTheme="minorEastAsia"/>
          <w:color w:val="000000" w:themeColor="text1"/>
          <w:kern w:val="2"/>
          <w:lang w:bidi="zh-CN"/>
          <w14:textFill>
            <w14:solidFill>
              <w14:schemeClr w14:val="tx1"/>
            </w14:solidFill>
          </w14:textFill>
        </w:rPr>
        <w:t>2 招标文件每套售价</w:t>
      </w:r>
      <w:r>
        <w:rPr>
          <w:rFonts w:hint="eastAsia" w:asciiTheme="minorEastAsia" w:hAnsiTheme="minorEastAsia" w:eastAsiaTheme="minorEastAsia"/>
          <w:color w:val="000000" w:themeColor="text1"/>
          <w:u w:val="single"/>
          <w14:textFill>
            <w14:solidFill>
              <w14:schemeClr w14:val="tx1"/>
            </w14:solidFill>
          </w14:textFill>
        </w:rPr>
        <w:t xml:space="preserve">  贰佰元人民币</w:t>
      </w:r>
      <w:r>
        <w:rPr>
          <w:rFonts w:hint="eastAsia" w:cs="黑体" w:asciiTheme="minorEastAsia" w:hAnsiTheme="minorEastAsia" w:eastAsiaTheme="minorEastAsia"/>
          <w:color w:val="000000" w:themeColor="text1"/>
          <w:kern w:val="2"/>
          <w:u w:val="single"/>
          <w14:textFill>
            <w14:solidFill>
              <w14:schemeClr w14:val="tx1"/>
            </w14:solidFill>
          </w14:textFill>
        </w:rPr>
        <w:t xml:space="preserve">  </w:t>
      </w:r>
      <w:r>
        <w:rPr>
          <w:rFonts w:hint="eastAsia" w:cs="黑体" w:asciiTheme="minorEastAsia" w:hAnsiTheme="minorEastAsia" w:eastAsiaTheme="minorEastAsia"/>
          <w:color w:val="000000" w:themeColor="text1"/>
          <w:kern w:val="2"/>
          <w14:textFill>
            <w14:solidFill>
              <w14:schemeClr w14:val="tx1"/>
            </w14:solidFill>
          </w14:textFill>
        </w:rPr>
        <w:t>，售后不退</w:t>
      </w:r>
      <w:r>
        <w:rPr>
          <w:rFonts w:hint="eastAsia" w:cs="黑体" w:asciiTheme="minorEastAsia" w:hAnsiTheme="minorEastAsia" w:eastAsiaTheme="minorEastAsia"/>
          <w:color w:val="000000" w:themeColor="text1"/>
          <w:kern w:val="2"/>
          <w:lang w:bidi="zh-CN"/>
          <w14:textFill>
            <w14:solidFill>
              <w14:schemeClr w14:val="tx1"/>
            </w14:solidFill>
          </w14:textFill>
        </w:rPr>
        <w:t>。</w:t>
      </w:r>
      <w:r>
        <w:rPr>
          <w:rFonts w:cs="黑体" w:asciiTheme="minorEastAsia" w:hAnsiTheme="minorEastAsia" w:eastAsiaTheme="minorEastAsia"/>
          <w:color w:val="000000" w:themeColor="text1"/>
          <w:kern w:val="2"/>
          <w:lang w:bidi="zh-CN"/>
          <w14:textFill>
            <w14:solidFill>
              <w14:schemeClr w14:val="tx1"/>
            </w14:solidFill>
          </w14:textFill>
        </w:rPr>
        <w:t>标书费（不接收以个人名义缴纳的标书费，必须以投标人单位银行账户缴纳</w:t>
      </w:r>
      <w:r>
        <w:rPr>
          <w:rFonts w:hint="eastAsia" w:cs="黑体" w:asciiTheme="minorEastAsia" w:hAnsiTheme="minorEastAsia" w:eastAsiaTheme="minorEastAsia"/>
          <w:color w:val="000000" w:themeColor="text1"/>
          <w:kern w:val="2"/>
          <w:lang w:bidi="zh-CN"/>
          <w14:textFill>
            <w14:solidFill>
              <w14:schemeClr w14:val="tx1"/>
            </w14:solidFill>
          </w14:textFill>
        </w:rPr>
        <w:t>）</w:t>
      </w:r>
      <w:r>
        <w:rPr>
          <w:rFonts w:cs="黑体" w:asciiTheme="minorEastAsia" w:hAnsiTheme="minorEastAsia" w:eastAsiaTheme="minorEastAsia"/>
          <w:color w:val="000000" w:themeColor="text1"/>
          <w:kern w:val="2"/>
          <w:lang w:bidi="zh-CN"/>
          <w14:textFill>
            <w14:solidFill>
              <w14:schemeClr w14:val="tx1"/>
            </w14:solidFill>
          </w14:textFill>
        </w:rPr>
        <w:t>汇至</w:t>
      </w:r>
      <w:r>
        <w:rPr>
          <w:rFonts w:hint="eastAsia" w:asciiTheme="minorEastAsia" w:hAnsiTheme="minorEastAsia" w:eastAsiaTheme="minorEastAsia"/>
          <w:color w:val="000000" w:themeColor="text1"/>
          <w14:textFill>
            <w14:solidFill>
              <w14:schemeClr w14:val="tx1"/>
            </w14:solidFill>
          </w14:textFill>
        </w:rPr>
        <w:t>银行账户（汇付时请注明本项目招标编号）：</w:t>
      </w:r>
    </w:p>
    <w:p>
      <w:pPr>
        <w:pStyle w:val="18"/>
        <w:spacing w:line="400" w:lineRule="exact"/>
        <w:ind w:left="480" w:leftChars="200"/>
        <w:rPr>
          <w:rFonts w:ascii="宋体" w:hAnsi="宋体"/>
          <w:sz w:val="24"/>
        </w:rPr>
      </w:pPr>
      <w:r>
        <w:rPr>
          <w:rFonts w:hint="eastAsia" w:ascii="宋体" w:hAnsi="宋体"/>
          <w:sz w:val="24"/>
        </w:rPr>
        <w:t>户  名：黄石市城发建设有限公司</w:t>
      </w:r>
    </w:p>
    <w:p>
      <w:pPr>
        <w:pStyle w:val="18"/>
        <w:spacing w:line="400" w:lineRule="exact"/>
        <w:ind w:left="480" w:leftChars="200"/>
        <w:rPr>
          <w:rFonts w:ascii="宋体" w:hAnsi="宋体"/>
          <w:sz w:val="24"/>
        </w:rPr>
      </w:pPr>
      <w:r>
        <w:rPr>
          <w:rFonts w:hint="eastAsia" w:ascii="宋体" w:hAnsi="宋体"/>
          <w:sz w:val="24"/>
        </w:rPr>
        <w:t xml:space="preserve">账  号：7149 0278 0910 608 </w:t>
      </w:r>
    </w:p>
    <w:p>
      <w:pPr>
        <w:pStyle w:val="18"/>
        <w:spacing w:line="400" w:lineRule="exact"/>
        <w:ind w:left="480" w:leftChars="200"/>
        <w:rPr>
          <w:rFonts w:ascii="宋体" w:hAnsi="宋体" w:cs="宋体"/>
          <w:sz w:val="24"/>
          <w:szCs w:val="22"/>
        </w:rPr>
      </w:pPr>
      <w:r>
        <w:rPr>
          <w:rFonts w:hint="eastAsia" w:ascii="宋体" w:hAnsi="宋体"/>
          <w:sz w:val="24"/>
        </w:rPr>
        <w:t xml:space="preserve">开户行：招商银行黄石分行营业部 </w:t>
      </w:r>
    </w:p>
    <w:p>
      <w:pPr>
        <w:pStyle w:val="18"/>
        <w:spacing w:line="400" w:lineRule="exact"/>
        <w:ind w:left="480" w:leftChars="200"/>
        <w:rPr>
          <w:rFonts w:ascii="宋体" w:hAnsi="宋体"/>
          <w:sz w:val="24"/>
        </w:rPr>
      </w:pPr>
      <w:r>
        <w:rPr>
          <w:rFonts w:hint="eastAsia" w:cs="宋体" w:asciiTheme="minorEastAsia" w:hAnsiTheme="minorEastAsia" w:eastAsiaTheme="minorEastAsia"/>
          <w:szCs w:val="24"/>
        </w:rPr>
        <w:t xml:space="preserve">  </w:t>
      </w:r>
      <w:r>
        <w:rPr>
          <w:rFonts w:hint="eastAsia" w:ascii="宋体" w:hAnsi="宋体"/>
          <w:sz w:val="24"/>
        </w:rPr>
        <w:t>5.3投标保证金</w:t>
      </w:r>
    </w:p>
    <w:p>
      <w:pPr>
        <w:spacing w:line="300" w:lineRule="auto"/>
        <w:ind w:firstLine="480" w:firstLineChars="200"/>
        <w:rPr>
          <w:rFonts w:cs="宋体" w:asciiTheme="minorEastAsia" w:hAnsiTheme="minorEastAsia" w:eastAsiaTheme="minorEastAsia"/>
          <w:szCs w:val="24"/>
        </w:rPr>
      </w:pPr>
      <w:r>
        <w:rPr>
          <w:rFonts w:hint="eastAsia" w:cs="宋体" w:asciiTheme="minorEastAsia" w:hAnsiTheme="minorEastAsia" w:eastAsiaTheme="minorEastAsia"/>
          <w:szCs w:val="24"/>
        </w:rPr>
        <w:t>本招标项目投标保证金金额为</w:t>
      </w:r>
      <w:r>
        <w:rPr>
          <w:rFonts w:hint="eastAsia" w:cs="宋体" w:asciiTheme="minorEastAsia" w:hAnsiTheme="minorEastAsia" w:eastAsiaTheme="minorEastAsia"/>
          <w:szCs w:val="24"/>
          <w:u w:val="single"/>
        </w:rPr>
        <w:t xml:space="preserve"> 壹万元人民币 </w:t>
      </w:r>
      <w:r>
        <w:rPr>
          <w:rFonts w:hint="eastAsia" w:cs="宋体" w:asciiTheme="minorEastAsia" w:hAnsiTheme="minorEastAsia" w:eastAsiaTheme="minorEastAsia"/>
          <w:szCs w:val="24"/>
        </w:rPr>
        <w:t>（投标保证金必须为银行汇款或银行保函，不接收以个人名义缴纳的投标保证金，必须以投标人单位银行账户缴纳），未按规定交纳投标保证金的投标文件将被拒绝。</w:t>
      </w:r>
    </w:p>
    <w:p>
      <w:pPr>
        <w:spacing w:line="300" w:lineRule="auto"/>
        <w:ind w:firstLine="480" w:firstLineChars="200"/>
        <w:rPr>
          <w:rFonts w:cs="宋体" w:asciiTheme="minorEastAsia" w:hAnsiTheme="minorEastAsia" w:eastAsiaTheme="minorEastAsia"/>
          <w:szCs w:val="24"/>
        </w:rPr>
      </w:pPr>
      <w:r>
        <w:rPr>
          <w:rFonts w:hint="eastAsia" w:cs="宋体" w:asciiTheme="minorEastAsia" w:hAnsiTheme="minorEastAsia" w:eastAsiaTheme="minorEastAsia"/>
          <w:szCs w:val="24"/>
        </w:rPr>
        <w:t>投标保证金汇至以上账户（5</w:t>
      </w:r>
      <w:r>
        <w:rPr>
          <w:rFonts w:cs="宋体" w:asciiTheme="minorEastAsia" w:hAnsiTheme="minorEastAsia" w:eastAsiaTheme="minorEastAsia"/>
          <w:szCs w:val="24"/>
        </w:rPr>
        <w:t>.2</w:t>
      </w:r>
      <w:r>
        <w:rPr>
          <w:rFonts w:hint="eastAsia" w:cs="宋体" w:asciiTheme="minorEastAsia" w:hAnsiTheme="minorEastAsia" w:eastAsiaTheme="minorEastAsia"/>
          <w:szCs w:val="24"/>
        </w:rPr>
        <w:t>标书费缴纳账户）</w:t>
      </w:r>
    </w:p>
    <w:p>
      <w:pPr>
        <w:pStyle w:val="5"/>
      </w:pPr>
      <w:bookmarkStart w:id="78" w:name="_Toc5789"/>
      <w:bookmarkStart w:id="79" w:name="_Toc30791"/>
      <w:bookmarkStart w:id="80" w:name="_Toc15302"/>
      <w:bookmarkStart w:id="81" w:name="_Toc4460"/>
      <w:bookmarkStart w:id="82" w:name="_Toc31478"/>
      <w:bookmarkStart w:id="83" w:name="_Toc70345013"/>
      <w:r>
        <w:rPr>
          <w:rFonts w:hint="eastAsia"/>
        </w:rPr>
        <w:t>6</w:t>
      </w:r>
      <w:r>
        <w:t>.</w:t>
      </w:r>
      <w:r>
        <w:rPr>
          <w:rFonts w:hint="eastAsia"/>
        </w:rPr>
        <w:t>投标文件的递交</w:t>
      </w:r>
      <w:bookmarkEnd w:id="78"/>
      <w:bookmarkEnd w:id="79"/>
      <w:bookmarkEnd w:id="80"/>
      <w:bookmarkEnd w:id="81"/>
      <w:bookmarkEnd w:id="82"/>
      <w:bookmarkEnd w:id="83"/>
    </w:p>
    <w:p>
      <w:pPr>
        <w:spacing w:line="300" w:lineRule="auto"/>
        <w:ind w:firstLine="240" w:firstLineChars="100"/>
        <w:rPr>
          <w:rFonts w:cs="黑体" w:asciiTheme="minorEastAsia" w:hAnsiTheme="minorEastAsia" w:eastAsiaTheme="minorEastAsia"/>
          <w:color w:val="000000" w:themeColor="text1"/>
          <w:kern w:val="2"/>
          <w:lang w:bidi="zh-CN"/>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6.1</w:t>
      </w:r>
      <w:r>
        <w:rPr>
          <w:rFonts w:asciiTheme="minorEastAsia" w:hAnsiTheme="minorEastAsia" w:eastAsiaTheme="minorEastAsia"/>
          <w:color w:val="000000" w:themeColor="text1"/>
          <w14:textFill>
            <w14:solidFill>
              <w14:schemeClr w14:val="tx1"/>
            </w14:solidFill>
          </w14:textFill>
        </w:rPr>
        <w:t xml:space="preserve"> 投标文件递交的截止时间（投标截止时间，下同）为</w:t>
      </w:r>
      <w:r>
        <w:rPr>
          <w:rFonts w:hint="eastAsia" w:cs="黑体" w:asciiTheme="minorEastAsia" w:hAnsiTheme="minorEastAsia" w:eastAsiaTheme="minorEastAsia"/>
          <w:color w:val="000000" w:themeColor="text1"/>
          <w:kern w:val="2"/>
          <w:u w:val="single"/>
          <w14:textFill>
            <w14:solidFill>
              <w14:schemeClr w14:val="tx1"/>
            </w14:solidFill>
          </w14:textFill>
        </w:rPr>
        <w:t>2021</w:t>
      </w:r>
      <w:r>
        <w:rPr>
          <w:rFonts w:hint="eastAsia" w:cs="黑体" w:asciiTheme="minorEastAsia" w:hAnsiTheme="minorEastAsia" w:eastAsiaTheme="minorEastAsia"/>
          <w:color w:val="000000" w:themeColor="text1"/>
          <w:kern w:val="2"/>
          <w14:textFill>
            <w14:solidFill>
              <w14:schemeClr w14:val="tx1"/>
            </w14:solidFill>
          </w14:textFill>
        </w:rPr>
        <w:t>年</w:t>
      </w:r>
      <w:r>
        <w:rPr>
          <w:rFonts w:hint="eastAsia" w:cs="黑体" w:asciiTheme="minorEastAsia" w:hAnsiTheme="minorEastAsia" w:eastAsiaTheme="minorEastAsia"/>
          <w:color w:val="000000" w:themeColor="text1"/>
          <w:kern w:val="2"/>
          <w:u w:val="single"/>
          <w14:textFill>
            <w14:solidFill>
              <w14:schemeClr w14:val="tx1"/>
            </w14:solidFill>
          </w14:textFill>
        </w:rPr>
        <w:t>11</w:t>
      </w:r>
      <w:r>
        <w:rPr>
          <w:rFonts w:hint="eastAsia" w:cs="黑体" w:asciiTheme="minorEastAsia" w:hAnsiTheme="minorEastAsia" w:eastAsiaTheme="minorEastAsia"/>
          <w:color w:val="000000" w:themeColor="text1"/>
          <w:kern w:val="2"/>
          <w14:textFill>
            <w14:solidFill>
              <w14:schemeClr w14:val="tx1"/>
            </w14:solidFill>
          </w14:textFill>
        </w:rPr>
        <w:t>月</w:t>
      </w:r>
      <w:r>
        <w:rPr>
          <w:rFonts w:hint="eastAsia" w:cs="黑体" w:asciiTheme="minorEastAsia" w:hAnsiTheme="minorEastAsia" w:eastAsiaTheme="minorEastAsia"/>
          <w:color w:val="000000" w:themeColor="text1"/>
          <w:kern w:val="2"/>
          <w:u w:val="single"/>
          <w:lang w:val="en-US" w:eastAsia="zh-CN"/>
          <w14:textFill>
            <w14:solidFill>
              <w14:schemeClr w14:val="tx1"/>
            </w14:solidFill>
          </w14:textFill>
        </w:rPr>
        <w:t>22</w:t>
      </w:r>
      <w:r>
        <w:rPr>
          <w:rFonts w:hint="eastAsia" w:cs="黑体" w:asciiTheme="minorEastAsia" w:hAnsiTheme="minorEastAsia" w:eastAsiaTheme="minorEastAsia"/>
          <w:color w:val="000000" w:themeColor="text1"/>
          <w:kern w:val="2"/>
          <w14:textFill>
            <w14:solidFill>
              <w14:schemeClr w14:val="tx1"/>
            </w14:solidFill>
          </w14:textFill>
        </w:rPr>
        <w:t>日</w:t>
      </w:r>
      <w:r>
        <w:rPr>
          <w:rFonts w:hint="eastAsia" w:cs="黑体" w:asciiTheme="minorEastAsia" w:hAnsiTheme="minorEastAsia" w:eastAsiaTheme="minorEastAsia"/>
          <w:color w:val="000000" w:themeColor="text1"/>
          <w:kern w:val="2"/>
          <w:u w:val="single"/>
          <w14:textFill>
            <w14:solidFill>
              <w14:schemeClr w14:val="tx1"/>
            </w14:solidFill>
          </w14:textFill>
        </w:rPr>
        <w:t xml:space="preserve">14：30 </w:t>
      </w:r>
      <w:r>
        <w:rPr>
          <w:rFonts w:cs="黑体" w:asciiTheme="minorEastAsia" w:hAnsiTheme="minorEastAsia" w:eastAsiaTheme="minorEastAsia"/>
          <w:color w:val="000000" w:themeColor="text1"/>
          <w:kern w:val="2"/>
          <w:u w:val="single"/>
          <w14:textFill>
            <w14:solidFill>
              <w14:schemeClr w14:val="tx1"/>
            </w14:solidFill>
          </w14:textFill>
        </w:rPr>
        <w:t>时</w:t>
      </w:r>
      <w:r>
        <w:rPr>
          <w:rFonts w:asciiTheme="minorEastAsia" w:hAnsiTheme="minorEastAsia" w:eastAsiaTheme="minorEastAsia"/>
          <w:color w:val="000000" w:themeColor="text1"/>
          <w14:textFill>
            <w14:solidFill>
              <w14:schemeClr w14:val="tx1"/>
            </w14:solidFill>
          </w14:textFill>
        </w:rPr>
        <w:t>，投标人应在截止时间前递交投标文件。</w:t>
      </w:r>
      <w:r>
        <w:rPr>
          <w:rFonts w:cs="黑体" w:asciiTheme="minorEastAsia" w:hAnsiTheme="minorEastAsia" w:eastAsiaTheme="minorEastAsia"/>
          <w:color w:val="000000" w:themeColor="text1"/>
          <w:kern w:val="2"/>
          <w:lang w:bidi="zh-CN"/>
          <w14:textFill>
            <w14:solidFill>
              <w14:schemeClr w14:val="tx1"/>
            </w14:solidFill>
          </w14:textFill>
        </w:rPr>
        <w:t xml:space="preserve"> </w:t>
      </w:r>
    </w:p>
    <w:p>
      <w:pPr>
        <w:spacing w:line="300" w:lineRule="auto"/>
        <w:rPr>
          <w:rFonts w:cs="黑体" w:asciiTheme="minorEastAsia" w:hAnsiTheme="minorEastAsia" w:eastAsiaTheme="minorEastAsia"/>
          <w:color w:val="000000" w:themeColor="text1"/>
          <w:kern w:val="2"/>
          <w:lang w:bidi="zh-CN"/>
          <w14:textFill>
            <w14:solidFill>
              <w14:schemeClr w14:val="tx1"/>
            </w14:solidFill>
          </w14:textFill>
        </w:rPr>
      </w:pPr>
      <w:r>
        <w:rPr>
          <w:rFonts w:hint="eastAsia" w:cs="黑体" w:asciiTheme="minorEastAsia" w:hAnsiTheme="minorEastAsia" w:eastAsiaTheme="minorEastAsia"/>
          <w:color w:val="000000" w:themeColor="text1"/>
          <w:kern w:val="2"/>
          <w:lang w:bidi="zh-CN"/>
          <w14:textFill>
            <w14:solidFill>
              <w14:schemeClr w14:val="tx1"/>
            </w14:solidFill>
          </w14:textFill>
        </w:rPr>
        <w:t xml:space="preserve"> </w:t>
      </w:r>
      <w:r>
        <w:rPr>
          <w:rFonts w:cs="黑体" w:asciiTheme="minorEastAsia" w:hAnsiTheme="minorEastAsia" w:eastAsiaTheme="minorEastAsia"/>
          <w:color w:val="000000" w:themeColor="text1"/>
          <w:kern w:val="2"/>
          <w:lang w:bidi="zh-CN"/>
          <w14:textFill>
            <w14:solidFill>
              <w14:schemeClr w14:val="tx1"/>
            </w14:solidFill>
          </w14:textFill>
        </w:rPr>
        <w:t xml:space="preserve"> </w:t>
      </w:r>
      <w:r>
        <w:rPr>
          <w:rFonts w:hint="eastAsia" w:cs="黑体" w:asciiTheme="minorEastAsia" w:hAnsiTheme="minorEastAsia" w:eastAsiaTheme="minorEastAsia"/>
          <w:color w:val="000000" w:themeColor="text1"/>
          <w:kern w:val="2"/>
          <w:lang w:bidi="zh-CN"/>
          <w14:textFill>
            <w14:solidFill>
              <w14:schemeClr w14:val="tx1"/>
            </w14:solidFill>
          </w14:textFill>
        </w:rPr>
        <w:t>6.2</w:t>
      </w:r>
      <w:r>
        <w:rPr>
          <w:rFonts w:cs="黑体" w:asciiTheme="minorEastAsia" w:hAnsiTheme="minorEastAsia" w:eastAsiaTheme="minorEastAsia"/>
          <w:color w:val="000000" w:themeColor="text1"/>
          <w:kern w:val="2"/>
          <w:lang w:bidi="zh-CN"/>
          <w14:textFill>
            <w14:solidFill>
              <w14:schemeClr w14:val="tx1"/>
            </w14:solidFill>
          </w14:textFill>
        </w:rPr>
        <w:t xml:space="preserve"> 逾期送达的投标文件，将予以拒收。</w:t>
      </w:r>
    </w:p>
    <w:p>
      <w:pPr>
        <w:pStyle w:val="5"/>
      </w:pPr>
      <w:bookmarkStart w:id="84" w:name="_Toc70345014"/>
      <w:bookmarkStart w:id="85" w:name="_Toc30520"/>
      <w:bookmarkStart w:id="86" w:name="_Toc13079"/>
      <w:bookmarkStart w:id="87" w:name="_Toc15044"/>
      <w:bookmarkStart w:id="88" w:name="_Toc376"/>
      <w:bookmarkStart w:id="89" w:name="_Toc7658"/>
      <w:r>
        <w:rPr>
          <w:rFonts w:hint="eastAsia"/>
        </w:rPr>
        <w:t>7</w:t>
      </w:r>
      <w:r>
        <w:t>.</w:t>
      </w:r>
      <w:r>
        <w:rPr>
          <w:rFonts w:hint="eastAsia"/>
        </w:rPr>
        <w:t>开标时间</w:t>
      </w:r>
      <w:bookmarkEnd w:id="84"/>
      <w:bookmarkEnd w:id="85"/>
      <w:bookmarkEnd w:id="86"/>
      <w:bookmarkEnd w:id="87"/>
      <w:bookmarkEnd w:id="88"/>
      <w:bookmarkEnd w:id="89"/>
    </w:p>
    <w:p>
      <w:pPr>
        <w:spacing w:line="300" w:lineRule="auto"/>
        <w:ind w:firstLine="240" w:firstLineChars="100"/>
        <w:rPr>
          <w:rFonts w:asciiTheme="minorEastAsia" w:hAnsiTheme="minorEastAsia" w:eastAsiaTheme="minorEastAsia"/>
          <w:color w:val="000000" w:themeColor="text1"/>
          <w14:textFill>
            <w14:solidFill>
              <w14:schemeClr w14:val="tx1"/>
            </w14:solidFill>
          </w14:textFill>
        </w:rPr>
      </w:pPr>
      <w:bookmarkStart w:id="90" w:name="_Toc11212"/>
      <w:bookmarkStart w:id="91" w:name="_Toc6231"/>
      <w:r>
        <w:rPr>
          <w:rFonts w:asciiTheme="minorEastAsia" w:hAnsiTheme="minorEastAsia" w:eastAsiaTheme="minorEastAsia"/>
          <w:color w:val="000000" w:themeColor="text1"/>
          <w14:textFill>
            <w14:solidFill>
              <w14:schemeClr w14:val="tx1"/>
            </w14:solidFill>
          </w14:textFill>
        </w:rPr>
        <w:t>7.1开标时间：</w:t>
      </w:r>
      <w:bookmarkEnd w:id="90"/>
      <w:bookmarkEnd w:id="91"/>
      <w:r>
        <w:rPr>
          <w:rFonts w:hint="eastAsia" w:cs="黑体" w:asciiTheme="minorEastAsia" w:hAnsiTheme="minorEastAsia" w:eastAsiaTheme="minorEastAsia"/>
          <w:color w:val="000000" w:themeColor="text1"/>
          <w:kern w:val="2"/>
          <w:u w:val="single"/>
          <w14:textFill>
            <w14:solidFill>
              <w14:schemeClr w14:val="tx1"/>
            </w14:solidFill>
          </w14:textFill>
        </w:rPr>
        <w:t>2021</w:t>
      </w:r>
      <w:r>
        <w:rPr>
          <w:rFonts w:hint="eastAsia" w:cs="黑体" w:asciiTheme="minorEastAsia" w:hAnsiTheme="minorEastAsia" w:eastAsiaTheme="minorEastAsia"/>
          <w:color w:val="000000" w:themeColor="text1"/>
          <w:kern w:val="2"/>
          <w14:textFill>
            <w14:solidFill>
              <w14:schemeClr w14:val="tx1"/>
            </w14:solidFill>
          </w14:textFill>
        </w:rPr>
        <w:t>年</w:t>
      </w:r>
      <w:r>
        <w:rPr>
          <w:rFonts w:hint="eastAsia" w:cs="黑体" w:asciiTheme="minorEastAsia" w:hAnsiTheme="minorEastAsia" w:eastAsiaTheme="minorEastAsia"/>
          <w:color w:val="000000" w:themeColor="text1"/>
          <w:kern w:val="2"/>
          <w:u w:val="single"/>
          <w14:textFill>
            <w14:solidFill>
              <w14:schemeClr w14:val="tx1"/>
            </w14:solidFill>
          </w14:textFill>
        </w:rPr>
        <w:t>11</w:t>
      </w:r>
      <w:r>
        <w:rPr>
          <w:rFonts w:hint="eastAsia" w:cs="黑体" w:asciiTheme="minorEastAsia" w:hAnsiTheme="minorEastAsia" w:eastAsiaTheme="minorEastAsia"/>
          <w:color w:val="000000" w:themeColor="text1"/>
          <w:kern w:val="2"/>
          <w14:textFill>
            <w14:solidFill>
              <w14:schemeClr w14:val="tx1"/>
            </w14:solidFill>
          </w14:textFill>
        </w:rPr>
        <w:t>月</w:t>
      </w:r>
      <w:r>
        <w:rPr>
          <w:rFonts w:hint="eastAsia" w:cs="黑体" w:asciiTheme="minorEastAsia" w:hAnsiTheme="minorEastAsia" w:eastAsiaTheme="minorEastAsia"/>
          <w:color w:val="000000" w:themeColor="text1"/>
          <w:kern w:val="2"/>
          <w:u w:val="single"/>
          <w:lang w:val="en-US" w:eastAsia="zh-CN"/>
          <w14:textFill>
            <w14:solidFill>
              <w14:schemeClr w14:val="tx1"/>
            </w14:solidFill>
          </w14:textFill>
        </w:rPr>
        <w:t>22</w:t>
      </w:r>
      <w:r>
        <w:rPr>
          <w:rFonts w:hint="eastAsia" w:cs="黑体" w:asciiTheme="minorEastAsia" w:hAnsiTheme="minorEastAsia" w:eastAsiaTheme="minorEastAsia"/>
          <w:color w:val="000000" w:themeColor="text1"/>
          <w:kern w:val="2"/>
          <w14:textFill>
            <w14:solidFill>
              <w14:schemeClr w14:val="tx1"/>
            </w14:solidFill>
          </w14:textFill>
        </w:rPr>
        <w:t>日</w:t>
      </w:r>
      <w:r>
        <w:rPr>
          <w:rFonts w:hint="eastAsia" w:cs="黑体" w:asciiTheme="minorEastAsia" w:hAnsiTheme="minorEastAsia" w:eastAsiaTheme="minorEastAsia"/>
          <w:color w:val="000000" w:themeColor="text1"/>
          <w:kern w:val="2"/>
          <w:u w:val="single"/>
          <w14:textFill>
            <w14:solidFill>
              <w14:schemeClr w14:val="tx1"/>
            </w14:solidFill>
          </w14:textFill>
        </w:rPr>
        <w:t xml:space="preserve">14：30 </w:t>
      </w:r>
      <w:r>
        <w:rPr>
          <w:rFonts w:cs="黑体" w:asciiTheme="minorEastAsia" w:hAnsiTheme="minorEastAsia" w:eastAsiaTheme="minorEastAsia"/>
          <w:color w:val="000000" w:themeColor="text1"/>
          <w:kern w:val="2"/>
          <w:u w:val="single"/>
          <w14:textFill>
            <w14:solidFill>
              <w14:schemeClr w14:val="tx1"/>
            </w14:solidFill>
          </w14:textFill>
        </w:rPr>
        <w:t>时</w:t>
      </w:r>
    </w:p>
    <w:p>
      <w:pPr>
        <w:spacing w:line="300" w:lineRule="auto"/>
        <w:ind w:firstLine="240" w:firstLineChars="100"/>
        <w:rPr>
          <w:rFonts w:asciiTheme="minorEastAsia" w:hAnsiTheme="minorEastAsia" w:eastAsiaTheme="minorEastAsia"/>
          <w:color w:val="000000" w:themeColor="text1"/>
          <w:u w:val="single"/>
          <w14:textFill>
            <w14:solidFill>
              <w14:schemeClr w14:val="tx1"/>
            </w14:solidFill>
          </w14:textFill>
        </w:rPr>
      </w:pPr>
      <w:bookmarkStart w:id="92" w:name="_Toc8344"/>
      <w:bookmarkStart w:id="93" w:name="_Toc29406"/>
      <w:r>
        <w:rPr>
          <w:rFonts w:asciiTheme="minorEastAsia" w:hAnsiTheme="minorEastAsia" w:eastAsiaTheme="minorEastAsia"/>
          <w:color w:val="000000" w:themeColor="text1"/>
          <w14:textFill>
            <w14:solidFill>
              <w14:schemeClr w14:val="tx1"/>
            </w14:solidFill>
          </w14:textFill>
        </w:rPr>
        <w:t>7.2开标地点：</w:t>
      </w:r>
      <w:bookmarkEnd w:id="92"/>
      <w:bookmarkEnd w:id="93"/>
      <w:r>
        <w:rPr>
          <w:rFonts w:hint="eastAsia" w:asciiTheme="minorEastAsia" w:hAnsiTheme="minorEastAsia" w:eastAsiaTheme="minorEastAsia"/>
          <w:color w:val="000000" w:themeColor="text1"/>
          <w:u w:val="single"/>
          <w14:textFill>
            <w14:solidFill>
              <w14:schemeClr w14:val="tx1"/>
            </w14:solidFill>
          </w14:textFill>
        </w:rPr>
        <w:t xml:space="preserve"> </w:t>
      </w:r>
      <w:r>
        <w:rPr>
          <w:rFonts w:hint="eastAsia" w:ascii="宋体" w:hAnsi="宋体" w:cs="宋体"/>
          <w:szCs w:val="24"/>
          <w:u w:val="single"/>
        </w:rPr>
        <w:t>黄石市城发建设有限公司8301会议室</w:t>
      </w:r>
      <w:r>
        <w:rPr>
          <w:rFonts w:hint="eastAsia" w:asciiTheme="minorEastAsia" w:hAnsiTheme="minorEastAsia" w:eastAsiaTheme="minorEastAsia"/>
          <w:color w:val="000000" w:themeColor="text1"/>
          <w:u w:val="single"/>
          <w14:textFill>
            <w14:solidFill>
              <w14:schemeClr w14:val="tx1"/>
            </w14:solidFill>
          </w14:textFill>
        </w:rPr>
        <w:t xml:space="preserve">  </w:t>
      </w:r>
    </w:p>
    <w:p>
      <w:pPr>
        <w:pStyle w:val="5"/>
      </w:pPr>
      <w:bookmarkStart w:id="94" w:name="_Toc70345016"/>
      <w:bookmarkStart w:id="95" w:name="_Toc25732"/>
      <w:bookmarkStart w:id="96" w:name="_Toc28186"/>
      <w:bookmarkStart w:id="97" w:name="_Toc10488"/>
      <w:bookmarkStart w:id="98" w:name="_Toc16171"/>
      <w:bookmarkStart w:id="99" w:name="_Toc26080"/>
      <w:r>
        <w:rPr>
          <w:rFonts w:hint="eastAsia"/>
        </w:rPr>
        <w:t>8.联系方式</w:t>
      </w:r>
      <w:bookmarkEnd w:id="94"/>
      <w:bookmarkEnd w:id="95"/>
      <w:bookmarkEnd w:id="96"/>
      <w:bookmarkEnd w:id="97"/>
      <w:bookmarkEnd w:id="98"/>
      <w:bookmarkEnd w:id="99"/>
    </w:p>
    <w:p>
      <w:pPr>
        <w:spacing w:line="300" w:lineRule="auto"/>
        <w:ind w:firstLine="240" w:firstLineChars="100"/>
        <w:rPr>
          <w:rFonts w:ascii="宋体" w:hAnsi="宋体" w:cs="宋体"/>
          <w:szCs w:val="24"/>
        </w:rPr>
      </w:pPr>
      <w:r>
        <w:rPr>
          <w:rFonts w:hint="eastAsia" w:ascii="宋体" w:hAnsi="宋体" w:cs="宋体"/>
          <w:color w:val="000000" w:themeColor="text1"/>
          <w:szCs w:val="24"/>
          <w14:textFill>
            <w14:solidFill>
              <w14:schemeClr w14:val="tx1"/>
            </w14:solidFill>
          </w14:textFill>
        </w:rPr>
        <w:t>招标人：</w:t>
      </w:r>
      <w:r>
        <w:rPr>
          <w:rFonts w:hint="eastAsia" w:ascii="宋体" w:hAnsi="宋体" w:cs="宋体"/>
          <w:szCs w:val="24"/>
        </w:rPr>
        <w:t xml:space="preserve"> 黄石市城发建设有限公司</w:t>
      </w:r>
    </w:p>
    <w:p>
      <w:pPr>
        <w:spacing w:line="300" w:lineRule="auto"/>
        <w:ind w:firstLine="240" w:firstLineChars="100"/>
        <w:rPr>
          <w:rFonts w:ascii="宋体" w:hAnsi="宋体" w:cs="宋体"/>
          <w:color w:val="000000" w:themeColor="text1"/>
          <w:szCs w:val="24"/>
          <w14:textFill>
            <w14:solidFill>
              <w14:schemeClr w14:val="tx1"/>
            </w14:solidFill>
          </w14:textFill>
        </w:rPr>
      </w:pPr>
      <w:r>
        <w:rPr>
          <w:rFonts w:hint="eastAsia" w:ascii="宋体" w:hAnsi="宋体" w:cs="宋体"/>
          <w:color w:val="000000" w:themeColor="text1"/>
          <w:szCs w:val="24"/>
          <w14:textFill>
            <w14:solidFill>
              <w14:schemeClr w14:val="tx1"/>
            </w14:solidFill>
          </w14:textFill>
        </w:rPr>
        <w:t>地  址：</w:t>
      </w:r>
      <w:r>
        <w:rPr>
          <w:rFonts w:hint="eastAsia" w:ascii="宋体" w:hAnsi="宋体" w:cs="宋体"/>
          <w:szCs w:val="24"/>
        </w:rPr>
        <w:t>黄石市团城山苏州路60号城发集团凤凰山办公区8301会议室</w:t>
      </w:r>
    </w:p>
    <w:p>
      <w:pPr>
        <w:spacing w:line="300" w:lineRule="auto"/>
        <w:ind w:firstLine="240" w:firstLineChars="100"/>
        <w:rPr>
          <w:rFonts w:ascii="宋体" w:hAnsi="宋体" w:cs="宋体"/>
          <w:color w:val="000000" w:themeColor="text1"/>
          <w:szCs w:val="24"/>
          <w14:textFill>
            <w14:solidFill>
              <w14:schemeClr w14:val="tx1"/>
            </w14:solidFill>
          </w14:textFill>
        </w:rPr>
      </w:pPr>
      <w:r>
        <w:rPr>
          <w:rFonts w:hint="eastAsia" w:ascii="宋体" w:hAnsi="宋体" w:cs="宋体"/>
          <w:szCs w:val="24"/>
        </w:rPr>
        <w:t>联系</w:t>
      </w:r>
      <w:r>
        <w:rPr>
          <w:rFonts w:hint="eastAsia" w:ascii="宋体" w:hAnsi="宋体" w:cs="宋体"/>
          <w:color w:val="000000" w:themeColor="text1"/>
          <w:szCs w:val="24"/>
          <w14:textFill>
            <w14:solidFill>
              <w14:schemeClr w14:val="tx1"/>
            </w14:solidFill>
          </w14:textFill>
        </w:rPr>
        <w:t>人：周工</w:t>
      </w:r>
    </w:p>
    <w:p>
      <w:pPr>
        <w:spacing w:line="300" w:lineRule="auto"/>
        <w:ind w:firstLine="240" w:firstLineChars="100"/>
        <w:rPr>
          <w:rFonts w:ascii="宋体" w:hAnsi="宋体" w:cs="宋体"/>
          <w:color w:val="000000" w:themeColor="text1"/>
          <w:szCs w:val="24"/>
          <w14:textFill>
            <w14:solidFill>
              <w14:schemeClr w14:val="tx1"/>
            </w14:solidFill>
          </w14:textFill>
        </w:rPr>
      </w:pPr>
      <w:r>
        <w:rPr>
          <w:rFonts w:hint="eastAsia" w:ascii="宋体" w:hAnsi="宋体" w:cs="宋体"/>
          <w:color w:val="000000" w:themeColor="text1"/>
          <w:szCs w:val="24"/>
          <w14:textFill>
            <w14:solidFill>
              <w14:schemeClr w14:val="tx1"/>
            </w14:solidFill>
          </w14:textFill>
        </w:rPr>
        <w:t>电  话：0714-6389776</w:t>
      </w:r>
    </w:p>
    <w:p>
      <w:pPr>
        <w:spacing w:line="300" w:lineRule="auto"/>
        <w:ind w:firstLine="240" w:firstLineChars="100"/>
        <w:rPr>
          <w:rFonts w:asciiTheme="minorEastAsia" w:hAnsiTheme="minorEastAsia" w:eastAsiaTheme="minorEastAsia"/>
          <w:color w:val="000000" w:themeColor="text1"/>
          <w14:textFill>
            <w14:solidFill>
              <w14:schemeClr w14:val="tx1"/>
            </w14:solidFill>
          </w14:textFill>
        </w:rPr>
      </w:pPr>
    </w:p>
    <w:p>
      <w:pPr>
        <w:spacing w:line="300" w:lineRule="auto"/>
        <w:ind w:firstLine="6720" w:firstLineChars="2800"/>
        <w:rPr>
          <w:rFonts w:cs="宋体" w:asciiTheme="minorEastAsia" w:hAnsiTheme="minorEastAsia" w:eastAsiaTheme="minorEastAsia"/>
          <w:color w:val="000000" w:themeColor="text1"/>
          <w14:textFill>
            <w14:solidFill>
              <w14:schemeClr w14:val="tx1"/>
            </w14:solidFill>
          </w14:textFill>
        </w:rPr>
      </w:pPr>
      <w:r>
        <w:rPr>
          <w:rFonts w:hint="eastAsia" w:cs="宋体" w:asciiTheme="minorEastAsia" w:hAnsiTheme="minorEastAsia" w:eastAsiaTheme="minorEastAsia"/>
          <w:color w:val="000000" w:themeColor="text1"/>
          <w:u w:val="single"/>
          <w14:textFill>
            <w14:solidFill>
              <w14:schemeClr w14:val="tx1"/>
            </w14:solidFill>
          </w14:textFill>
        </w:rPr>
        <w:t xml:space="preserve"> 2021 </w:t>
      </w:r>
      <w:r>
        <w:rPr>
          <w:rFonts w:hint="eastAsia" w:cs="宋体" w:asciiTheme="minorEastAsia" w:hAnsiTheme="minorEastAsia" w:eastAsiaTheme="minorEastAsia"/>
          <w:color w:val="000000" w:themeColor="text1"/>
          <w14:textFill>
            <w14:solidFill>
              <w14:schemeClr w14:val="tx1"/>
            </w14:solidFill>
          </w14:textFill>
        </w:rPr>
        <w:t>年</w:t>
      </w:r>
      <w:r>
        <w:rPr>
          <w:rFonts w:hint="eastAsia" w:cs="宋体" w:asciiTheme="minorEastAsia" w:hAnsiTheme="minorEastAsia" w:eastAsiaTheme="minorEastAsia"/>
          <w:color w:val="000000" w:themeColor="text1"/>
          <w:u w:val="single"/>
          <w14:textFill>
            <w14:solidFill>
              <w14:schemeClr w14:val="tx1"/>
            </w14:solidFill>
          </w14:textFill>
        </w:rPr>
        <w:t xml:space="preserve"> 11 </w:t>
      </w:r>
      <w:r>
        <w:rPr>
          <w:rFonts w:hint="eastAsia" w:cs="宋体" w:asciiTheme="minorEastAsia" w:hAnsiTheme="minorEastAsia" w:eastAsiaTheme="minorEastAsia"/>
          <w:color w:val="000000" w:themeColor="text1"/>
          <w14:textFill>
            <w14:solidFill>
              <w14:schemeClr w14:val="tx1"/>
            </w14:solidFill>
          </w14:textFill>
        </w:rPr>
        <w:t>月</w:t>
      </w:r>
      <w:r>
        <w:rPr>
          <w:rFonts w:hint="eastAsia" w:cs="宋体" w:asciiTheme="minorEastAsia" w:hAnsiTheme="minorEastAsia" w:eastAsiaTheme="minorEastAsia"/>
          <w:color w:val="000000" w:themeColor="text1"/>
          <w:u w:val="single"/>
          <w14:textFill>
            <w14:solidFill>
              <w14:schemeClr w14:val="tx1"/>
            </w14:solidFill>
          </w14:textFill>
        </w:rPr>
        <w:t xml:space="preserve"> </w:t>
      </w:r>
      <w:r>
        <w:rPr>
          <w:rFonts w:hint="eastAsia" w:cs="宋体" w:asciiTheme="minorEastAsia" w:hAnsiTheme="minorEastAsia" w:eastAsiaTheme="minorEastAsia"/>
          <w:color w:val="000000" w:themeColor="text1"/>
          <w:u w:val="single"/>
          <w:lang w:val="en-US" w:eastAsia="zh-CN"/>
          <w14:textFill>
            <w14:solidFill>
              <w14:schemeClr w14:val="tx1"/>
            </w14:solidFill>
          </w14:textFill>
        </w:rPr>
        <w:t>18</w:t>
      </w:r>
      <w:r>
        <w:rPr>
          <w:rFonts w:hint="eastAsia" w:cs="宋体" w:asciiTheme="minorEastAsia" w:hAnsiTheme="minorEastAsia" w:eastAsiaTheme="minorEastAsia"/>
          <w:color w:val="000000" w:themeColor="text1"/>
          <w:u w:val="single"/>
          <w14:textFill>
            <w14:solidFill>
              <w14:schemeClr w14:val="tx1"/>
            </w14:solidFill>
          </w14:textFill>
        </w:rPr>
        <w:t xml:space="preserve"> </w:t>
      </w:r>
      <w:r>
        <w:rPr>
          <w:rFonts w:hint="eastAsia" w:cs="宋体" w:asciiTheme="minorEastAsia" w:hAnsiTheme="minorEastAsia" w:eastAsiaTheme="minorEastAsia"/>
          <w:color w:val="000000" w:themeColor="text1"/>
          <w14:textFill>
            <w14:solidFill>
              <w14:schemeClr w14:val="tx1"/>
            </w14:solidFill>
          </w14:textFill>
        </w:rPr>
        <w:t>日</w:t>
      </w:r>
    </w:p>
    <w:p>
      <w:pPr>
        <w:spacing w:line="300" w:lineRule="auto"/>
        <w:rPr>
          <w:rFonts w:asciiTheme="minorEastAsia" w:hAnsiTheme="minorEastAsia" w:eastAsiaTheme="minorEastAsia"/>
          <w:color w:val="000000" w:themeColor="text1"/>
          <w:sz w:val="40"/>
          <w:szCs w:val="40"/>
          <w14:textFill>
            <w14:solidFill>
              <w14:schemeClr w14:val="tx1"/>
            </w14:solidFill>
          </w14:textFill>
        </w:rPr>
        <w:sectPr>
          <w:headerReference r:id="rId6" w:type="default"/>
          <w:footerReference r:id="rId7" w:type="default"/>
          <w:endnotePr>
            <w:numFmt w:val="decimal"/>
          </w:endnotePr>
          <w:pgSz w:w="12240" w:h="15840"/>
          <w:pgMar w:top="1587" w:right="1417" w:bottom="1587" w:left="1417" w:header="850" w:footer="567" w:gutter="0"/>
          <w:cols w:space="0" w:num="1"/>
          <w:docGrid w:linePitch="299" w:charSpace="0"/>
        </w:sectPr>
      </w:pPr>
      <w:bookmarkStart w:id="100" w:name="_Toc9813"/>
      <w:bookmarkStart w:id="101" w:name="_Toc65848107"/>
      <w:bookmarkStart w:id="102" w:name="_Toc15298"/>
      <w:bookmarkStart w:id="103" w:name="_Toc23350"/>
      <w:bookmarkStart w:id="104" w:name="_Toc3038"/>
      <w:bookmarkStart w:id="105" w:name="_Toc70345017"/>
    </w:p>
    <w:bookmarkEnd w:id="100"/>
    <w:bookmarkEnd w:id="101"/>
    <w:bookmarkEnd w:id="102"/>
    <w:bookmarkEnd w:id="103"/>
    <w:bookmarkEnd w:id="104"/>
    <w:bookmarkEnd w:id="105"/>
    <w:p>
      <w:pPr>
        <w:pStyle w:val="4"/>
        <w:ind w:left="0"/>
        <w:jc w:val="center"/>
      </w:pPr>
      <w:bookmarkStart w:id="106" w:name="_Toc278891593"/>
      <w:bookmarkStart w:id="107" w:name="_Toc20831"/>
      <w:bookmarkStart w:id="108" w:name="_Toc363813385"/>
      <w:bookmarkStart w:id="109" w:name="_Toc272247696"/>
      <w:r>
        <w:rPr>
          <w:rFonts w:hint="eastAsia"/>
        </w:rPr>
        <w:t>第二章    投标文件</w:t>
      </w:r>
      <w:bookmarkEnd w:id="106"/>
      <w:bookmarkEnd w:id="107"/>
      <w:bookmarkEnd w:id="108"/>
      <w:bookmarkEnd w:id="109"/>
    </w:p>
    <w:p>
      <w:pPr>
        <w:pStyle w:val="5"/>
      </w:pPr>
      <w:bookmarkStart w:id="110" w:name="_Toc19319"/>
      <w:r>
        <w:rPr>
          <w:rFonts w:hint="eastAsia"/>
        </w:rPr>
        <w:t>1. 投标的语言</w:t>
      </w:r>
      <w:bookmarkEnd w:id="110"/>
    </w:p>
    <w:p>
      <w:pPr>
        <w:pStyle w:val="6"/>
        <w:spacing w:line="440" w:lineRule="exact"/>
        <w:ind w:firstLine="480"/>
        <w:rPr>
          <w:rFonts w:ascii="宋体" w:hAnsi="宋体" w:cs="宋体"/>
          <w:szCs w:val="24"/>
        </w:rPr>
      </w:pPr>
      <w:r>
        <w:rPr>
          <w:rFonts w:hint="eastAsia" w:ascii="宋体" w:hAnsi="宋体" w:cs="宋体"/>
          <w:szCs w:val="24"/>
        </w:rPr>
        <w:t>投标人提交的投标文件以及投标人与招标人就有关投标的所有来往函电均应使用中文。投标人提交的支持文件或印刷的文献可以用另一种语言，在解释投标文件的重点部分提供中文标注。</w:t>
      </w:r>
    </w:p>
    <w:p>
      <w:pPr>
        <w:pStyle w:val="5"/>
      </w:pPr>
      <w:bookmarkStart w:id="111" w:name="_Toc20517"/>
      <w:r>
        <w:rPr>
          <w:rFonts w:hint="eastAsia"/>
        </w:rPr>
        <w:t>2. 投标文件的构成</w:t>
      </w:r>
      <w:bookmarkEnd w:id="111"/>
    </w:p>
    <w:p>
      <w:pPr>
        <w:pStyle w:val="6"/>
        <w:spacing w:line="440" w:lineRule="exact"/>
        <w:ind w:firstLineChars="175"/>
        <w:rPr>
          <w:rFonts w:ascii="宋体" w:hAnsi="宋体" w:cs="宋体"/>
          <w:szCs w:val="24"/>
        </w:rPr>
      </w:pPr>
      <w:r>
        <w:rPr>
          <w:rFonts w:hint="eastAsia" w:ascii="宋体" w:hAnsi="宋体" w:cs="宋体"/>
          <w:szCs w:val="24"/>
        </w:rPr>
        <w:t>投标人编制的投标文件应包括但不少于下列内容：</w:t>
      </w:r>
    </w:p>
    <w:p>
      <w:pPr>
        <w:autoSpaceDE w:val="0"/>
        <w:autoSpaceDN w:val="0"/>
        <w:adjustRightInd w:val="0"/>
        <w:spacing w:line="440" w:lineRule="exact"/>
        <w:ind w:firstLine="480" w:firstLineChars="200"/>
        <w:rPr>
          <w:rFonts w:ascii="宋体" w:hAnsi="宋体" w:cs="宋体"/>
        </w:rPr>
      </w:pPr>
      <w:r>
        <w:rPr>
          <w:rFonts w:hint="eastAsia" w:ascii="宋体" w:hAnsi="宋体" w:cs="宋体"/>
        </w:rPr>
        <w:t>1）投标文件封面；</w:t>
      </w:r>
    </w:p>
    <w:p>
      <w:pPr>
        <w:autoSpaceDE w:val="0"/>
        <w:autoSpaceDN w:val="0"/>
        <w:adjustRightInd w:val="0"/>
        <w:spacing w:line="440" w:lineRule="exact"/>
        <w:ind w:firstLine="480" w:firstLineChars="200"/>
        <w:rPr>
          <w:rFonts w:ascii="宋体" w:hAnsi="宋体" w:cs="宋体"/>
        </w:rPr>
      </w:pPr>
      <w:r>
        <w:rPr>
          <w:rFonts w:hint="eastAsia" w:ascii="宋体" w:hAnsi="宋体" w:cs="宋体"/>
        </w:rPr>
        <w:t>2）投标文件目录；</w:t>
      </w:r>
    </w:p>
    <w:p>
      <w:pPr>
        <w:autoSpaceDE w:val="0"/>
        <w:autoSpaceDN w:val="0"/>
        <w:adjustRightInd w:val="0"/>
        <w:spacing w:line="440" w:lineRule="exact"/>
        <w:ind w:firstLine="480" w:firstLineChars="200"/>
        <w:rPr>
          <w:rFonts w:ascii="宋体" w:hAnsi="宋体" w:cs="宋体"/>
        </w:rPr>
      </w:pPr>
      <w:r>
        <w:rPr>
          <w:rFonts w:hint="eastAsia" w:ascii="宋体" w:hAnsi="宋体" w:cs="宋体"/>
        </w:rPr>
        <w:t>3）投标函；</w:t>
      </w:r>
    </w:p>
    <w:p>
      <w:pPr>
        <w:autoSpaceDE w:val="0"/>
        <w:autoSpaceDN w:val="0"/>
        <w:adjustRightInd w:val="0"/>
        <w:spacing w:line="440" w:lineRule="exact"/>
        <w:ind w:firstLine="480" w:firstLineChars="200"/>
        <w:rPr>
          <w:rFonts w:ascii="宋体" w:hAnsi="宋体" w:cs="宋体"/>
        </w:rPr>
      </w:pPr>
      <w:r>
        <w:rPr>
          <w:rFonts w:hint="eastAsia" w:ascii="宋体" w:hAnsi="宋体" w:cs="宋体"/>
        </w:rPr>
        <w:t>4）法定代表人身份证明、法定代表人授权委托书；</w:t>
      </w:r>
    </w:p>
    <w:p>
      <w:pPr>
        <w:pStyle w:val="86"/>
        <w:spacing w:line="440" w:lineRule="exact"/>
        <w:rPr>
          <w:rFonts w:ascii="宋体" w:hAnsi="宋体" w:cs="宋体"/>
        </w:rPr>
      </w:pPr>
      <w:r>
        <w:rPr>
          <w:rFonts w:hint="eastAsia" w:ascii="宋体" w:hAnsi="宋体" w:cs="宋体"/>
        </w:rPr>
        <w:t>5）投标报价表；</w:t>
      </w:r>
    </w:p>
    <w:p>
      <w:pPr>
        <w:autoSpaceDE w:val="0"/>
        <w:autoSpaceDN w:val="0"/>
        <w:adjustRightInd w:val="0"/>
        <w:spacing w:line="440" w:lineRule="exact"/>
        <w:ind w:firstLine="480" w:firstLineChars="200"/>
        <w:rPr>
          <w:rFonts w:ascii="宋体" w:hAnsi="宋体" w:cs="宋体"/>
        </w:rPr>
      </w:pPr>
      <w:r>
        <w:rPr>
          <w:rFonts w:hint="eastAsia" w:ascii="宋体" w:hAnsi="宋体" w:cs="宋体"/>
        </w:rPr>
        <w:t>6</w:t>
      </w:r>
      <w:r>
        <w:rPr>
          <w:rFonts w:hint="eastAsia" w:cs="宋体"/>
        </w:rPr>
        <w:t>）</w:t>
      </w:r>
      <w:r>
        <w:rPr>
          <w:rFonts w:hint="eastAsia" w:ascii="宋体" w:hAnsi="宋体" w:cs="宋体"/>
        </w:rPr>
        <w:t>投标人认为需要补充的内容。</w:t>
      </w:r>
    </w:p>
    <w:p>
      <w:pPr>
        <w:pStyle w:val="5"/>
      </w:pPr>
      <w:bookmarkStart w:id="112" w:name="_Toc2665"/>
      <w:r>
        <w:rPr>
          <w:rFonts w:hint="eastAsia"/>
        </w:rPr>
        <w:t>3. 投标文件的编制</w:t>
      </w:r>
      <w:bookmarkEnd w:id="112"/>
    </w:p>
    <w:p>
      <w:pPr>
        <w:autoSpaceDE w:val="0"/>
        <w:autoSpaceDN w:val="0"/>
        <w:adjustRightInd w:val="0"/>
        <w:spacing w:line="440" w:lineRule="exact"/>
        <w:ind w:firstLine="480" w:firstLineChars="200"/>
        <w:rPr>
          <w:rFonts w:ascii="宋体" w:hAnsi="宋体" w:cs="宋体"/>
        </w:rPr>
      </w:pPr>
      <w:r>
        <w:rPr>
          <w:rFonts w:hint="eastAsia" w:ascii="宋体" w:hAnsi="宋体" w:cs="宋体"/>
        </w:rPr>
        <w:t>3.1 投标文件应按“投标文件格式”样式进行编写，如有必要，可以增加附页，作为投标文件的组成部分。其中，投标函附录在满足招标文件实质性要求的基础上，可以提出比招标文件要求更有利于招标人的承诺。</w:t>
      </w:r>
    </w:p>
    <w:p>
      <w:pPr>
        <w:autoSpaceDE w:val="0"/>
        <w:autoSpaceDN w:val="0"/>
        <w:adjustRightInd w:val="0"/>
        <w:spacing w:line="440" w:lineRule="exact"/>
        <w:ind w:firstLine="480" w:firstLineChars="200"/>
        <w:rPr>
          <w:rFonts w:ascii="宋体" w:hAnsi="宋体" w:cs="宋体"/>
        </w:rPr>
      </w:pPr>
      <w:r>
        <w:rPr>
          <w:rFonts w:hint="eastAsia" w:ascii="宋体" w:hAnsi="宋体" w:cs="宋体"/>
        </w:rPr>
        <w:t>3.2 投标文件应当对招标文件前附表中内容及项目要求中内容等实质性内容作出明确响应。</w:t>
      </w:r>
    </w:p>
    <w:p>
      <w:pPr>
        <w:autoSpaceDE w:val="0"/>
        <w:autoSpaceDN w:val="0"/>
        <w:adjustRightInd w:val="0"/>
        <w:spacing w:line="440" w:lineRule="exact"/>
        <w:ind w:firstLine="480" w:firstLineChars="200"/>
        <w:rPr>
          <w:rFonts w:ascii="宋体" w:hAnsi="宋体" w:cs="宋体"/>
        </w:rPr>
      </w:pPr>
      <w:r>
        <w:rPr>
          <w:rFonts w:hint="eastAsia" w:ascii="宋体" w:hAnsi="宋体" w:cs="宋体"/>
        </w:rPr>
        <w:t>3.3 投标人应当对投标文件进行装订，逐页标注页码并编制详细目录，对未经装订的投标文件可能发生的散落或缺损，由此产生的后果其责任由投标人承担。</w:t>
      </w:r>
    </w:p>
    <w:p>
      <w:pPr>
        <w:autoSpaceDE w:val="0"/>
        <w:autoSpaceDN w:val="0"/>
        <w:adjustRightInd w:val="0"/>
        <w:spacing w:line="440" w:lineRule="exact"/>
        <w:ind w:firstLine="480" w:firstLineChars="200"/>
        <w:rPr>
          <w:rFonts w:ascii="宋体" w:hAnsi="宋体" w:cs="宋体"/>
        </w:rPr>
      </w:pPr>
      <w:r>
        <w:rPr>
          <w:rFonts w:hint="eastAsia" w:ascii="宋体" w:hAnsi="宋体" w:cs="宋体"/>
        </w:rPr>
        <w:t>3.4 投标人应完整地填写招标文件中提供的《投标函》、《投标报价表》等招标文件中规定的所有内容。</w:t>
      </w:r>
    </w:p>
    <w:p>
      <w:pPr>
        <w:autoSpaceDE w:val="0"/>
        <w:autoSpaceDN w:val="0"/>
        <w:adjustRightInd w:val="0"/>
        <w:spacing w:line="440" w:lineRule="exact"/>
        <w:ind w:firstLine="480" w:firstLineChars="200"/>
        <w:rPr>
          <w:rFonts w:ascii="宋体" w:hAnsi="宋体" w:cs="宋体"/>
        </w:rPr>
      </w:pPr>
      <w:r>
        <w:rPr>
          <w:rFonts w:hint="eastAsia" w:ascii="宋体" w:hAnsi="宋体" w:cs="宋体"/>
        </w:rPr>
        <w:t>3.5 投标人必须保证投标文件所提供的全部资料真实可靠，并接受招标人对其中任何资料进一步核实的要求。</w:t>
      </w:r>
    </w:p>
    <w:p>
      <w:pPr>
        <w:autoSpaceDE w:val="0"/>
        <w:autoSpaceDN w:val="0"/>
        <w:adjustRightInd w:val="0"/>
        <w:spacing w:line="440" w:lineRule="exact"/>
        <w:ind w:firstLine="480" w:firstLineChars="200"/>
        <w:rPr>
          <w:rFonts w:ascii="宋体" w:hAnsi="宋体" w:cs="宋体"/>
        </w:rPr>
      </w:pPr>
      <w:r>
        <w:rPr>
          <w:rFonts w:hint="eastAsia" w:ascii="宋体" w:hAnsi="宋体" w:cs="宋体"/>
        </w:rPr>
        <w:t>3.6 如果因为投标人投标文件填报的内容不详，或没有提供招标文件中所要求的全部资料及数据，由此造成的后果，其责任由投标人承担。</w:t>
      </w:r>
    </w:p>
    <w:p>
      <w:pPr>
        <w:autoSpaceDE w:val="0"/>
        <w:autoSpaceDN w:val="0"/>
        <w:adjustRightInd w:val="0"/>
        <w:spacing w:line="440" w:lineRule="exact"/>
        <w:ind w:firstLine="480" w:firstLineChars="200"/>
        <w:rPr>
          <w:rFonts w:ascii="宋体" w:hAnsi="宋体" w:cs="宋体"/>
        </w:rPr>
      </w:pPr>
      <w:r>
        <w:rPr>
          <w:rFonts w:hint="eastAsia" w:ascii="宋体" w:hAnsi="宋体" w:cs="宋体"/>
        </w:rPr>
        <w:t>3.7 投标文件用纸外形尺寸应统一为A4纸规格。</w:t>
      </w:r>
    </w:p>
    <w:p>
      <w:pPr>
        <w:pStyle w:val="5"/>
      </w:pPr>
      <w:bookmarkStart w:id="113" w:name="_Toc24360"/>
      <w:r>
        <w:rPr>
          <w:rFonts w:hint="eastAsia"/>
        </w:rPr>
        <w:t>4. 投标报价须知</w:t>
      </w:r>
      <w:bookmarkEnd w:id="113"/>
    </w:p>
    <w:p>
      <w:pPr>
        <w:tabs>
          <w:tab w:val="center" w:pos="4422"/>
        </w:tabs>
        <w:spacing w:line="440" w:lineRule="exact"/>
        <w:ind w:firstLine="480" w:firstLineChars="200"/>
        <w:jc w:val="both"/>
        <w:rPr>
          <w:rFonts w:ascii="宋体" w:hAnsi="宋体"/>
          <w:kern w:val="2"/>
          <w:szCs w:val="24"/>
        </w:rPr>
      </w:pPr>
      <w:r>
        <w:rPr>
          <w:rFonts w:hint="eastAsia" w:ascii="宋体" w:hAnsi="宋体"/>
          <w:kern w:val="2"/>
          <w:szCs w:val="24"/>
        </w:rPr>
        <w:t>4.1投标报价应包括招标文件所确定的招标范围内相应工作内容表的全部内容。投标报价中不得包含招标文件要求以外的内容，否则，在评标时不予核减。投标报价中也不得缺漏招标文件所要求的内容，否则将被视为无效投标。</w:t>
      </w:r>
    </w:p>
    <w:p>
      <w:pPr>
        <w:tabs>
          <w:tab w:val="center" w:pos="4422"/>
        </w:tabs>
        <w:spacing w:line="440" w:lineRule="exact"/>
        <w:ind w:firstLine="480" w:firstLineChars="200"/>
        <w:jc w:val="both"/>
        <w:rPr>
          <w:rFonts w:ascii="宋体" w:hAnsi="宋体"/>
          <w:kern w:val="2"/>
          <w:szCs w:val="24"/>
        </w:rPr>
      </w:pPr>
      <w:r>
        <w:rPr>
          <w:rFonts w:hint="eastAsia" w:ascii="宋体" w:hAnsi="宋体"/>
          <w:kern w:val="2"/>
          <w:szCs w:val="24"/>
        </w:rPr>
        <w:t>4.2投标人应按 “投标文件格式”中的“报价表”的要求结合自身因素，进行投标报价，并完整地填写相应表格。</w:t>
      </w:r>
    </w:p>
    <w:p>
      <w:pPr>
        <w:spacing w:line="440" w:lineRule="exact"/>
        <w:ind w:firstLine="480" w:firstLineChars="200"/>
        <w:jc w:val="both"/>
        <w:rPr>
          <w:rFonts w:ascii="宋体" w:hAnsi="宋体"/>
          <w:szCs w:val="20"/>
        </w:rPr>
      </w:pPr>
      <w:r>
        <w:rPr>
          <w:rFonts w:hint="eastAsia" w:ascii="宋体" w:hAnsi="宋体"/>
          <w:szCs w:val="20"/>
        </w:rPr>
        <w:t>4.3报价方式：</w:t>
      </w:r>
    </w:p>
    <w:p>
      <w:pPr>
        <w:spacing w:line="440" w:lineRule="exact"/>
        <w:ind w:firstLine="480" w:firstLineChars="200"/>
        <w:jc w:val="both"/>
        <w:rPr>
          <w:rFonts w:ascii="宋体" w:hAnsi="宋体"/>
          <w:szCs w:val="24"/>
        </w:rPr>
      </w:pPr>
      <w:r>
        <w:rPr>
          <w:rFonts w:hint="eastAsia" w:ascii="宋体" w:hAnsi="宋体"/>
          <w:szCs w:val="24"/>
        </w:rPr>
        <w:t>本项目报价：设备清单包含全部费用固定综合单价进行报价：控制价为</w:t>
      </w:r>
      <w:r>
        <w:rPr>
          <w:rFonts w:hint="eastAsia"/>
          <w:szCs w:val="24"/>
        </w:rPr>
        <w:t>68</w:t>
      </w:r>
      <w:r>
        <w:rPr>
          <w:rFonts w:hint="eastAsia" w:ascii="宋体" w:hAnsi="宋体"/>
          <w:szCs w:val="24"/>
        </w:rPr>
        <w:t>万元。全费用固定单价包括但不限于：设备费、运输费、保险费、技术指导费、卸车费、PLC调试编程费及13%税费等所有费用。合同履行期内无论市场价格变化和政策性调整，本合同所约定的全费用固定单价均不予调整。</w:t>
      </w:r>
    </w:p>
    <w:p>
      <w:pPr>
        <w:spacing w:line="440" w:lineRule="exact"/>
        <w:ind w:firstLine="480" w:firstLineChars="200"/>
        <w:jc w:val="both"/>
        <w:rPr>
          <w:rFonts w:ascii="宋体" w:hAnsi="宋体"/>
          <w:kern w:val="2"/>
          <w:szCs w:val="24"/>
        </w:rPr>
      </w:pPr>
      <w:r>
        <w:rPr>
          <w:rFonts w:hint="eastAsia" w:ascii="宋体" w:hAnsi="宋体" w:cs="宋体"/>
          <w:szCs w:val="24"/>
        </w:rPr>
        <w:t>4.4</w:t>
      </w:r>
      <w:r>
        <w:rPr>
          <w:rFonts w:hint="eastAsia" w:ascii="宋体" w:hAnsi="宋体"/>
          <w:kern w:val="2"/>
          <w:szCs w:val="24"/>
        </w:rPr>
        <w:t>投标报价应为最终报价。</w:t>
      </w:r>
    </w:p>
    <w:p>
      <w:pPr>
        <w:pStyle w:val="5"/>
      </w:pPr>
      <w:bookmarkStart w:id="114" w:name="_Toc248"/>
      <w:r>
        <w:rPr>
          <w:rFonts w:hint="eastAsia"/>
        </w:rPr>
        <w:t>5. 备选方案</w:t>
      </w:r>
      <w:bookmarkEnd w:id="114"/>
    </w:p>
    <w:p>
      <w:pPr>
        <w:tabs>
          <w:tab w:val="center" w:pos="4422"/>
        </w:tabs>
        <w:spacing w:line="440" w:lineRule="exact"/>
        <w:ind w:firstLine="480" w:firstLineChars="200"/>
        <w:rPr>
          <w:rFonts w:ascii="宋体" w:hAnsi="宋体" w:cs="宋体"/>
        </w:rPr>
      </w:pPr>
      <w:r>
        <w:rPr>
          <w:rFonts w:hint="eastAsia" w:ascii="宋体" w:hAnsi="宋体" w:cs="宋体"/>
        </w:rPr>
        <w:t>10.1只允许投标人有一个投标方案，否则将被视为无效投标。</w:t>
      </w:r>
    </w:p>
    <w:p>
      <w:pPr>
        <w:pStyle w:val="5"/>
      </w:pPr>
      <w:bookmarkStart w:id="115" w:name="_Toc31564"/>
      <w:r>
        <w:rPr>
          <w:rFonts w:hint="eastAsia"/>
        </w:rPr>
        <w:t>6. 联合体投标</w:t>
      </w:r>
      <w:bookmarkEnd w:id="115"/>
    </w:p>
    <w:p>
      <w:pPr>
        <w:tabs>
          <w:tab w:val="center" w:pos="4422"/>
        </w:tabs>
        <w:spacing w:line="440" w:lineRule="exact"/>
        <w:ind w:firstLine="480" w:firstLineChars="200"/>
        <w:rPr>
          <w:rFonts w:ascii="宋体" w:hAnsi="宋体" w:cs="宋体"/>
        </w:rPr>
      </w:pPr>
      <w:r>
        <w:rPr>
          <w:rFonts w:hint="eastAsia" w:ascii="宋体" w:hAnsi="宋体" w:cs="宋体"/>
        </w:rPr>
        <w:t>11.1本项目不接受联合体投标。</w:t>
      </w:r>
    </w:p>
    <w:p>
      <w:pPr>
        <w:pStyle w:val="5"/>
      </w:pPr>
      <w:bookmarkStart w:id="116" w:name="_Toc27962"/>
      <w:r>
        <w:rPr>
          <w:rFonts w:hint="eastAsia"/>
        </w:rPr>
        <w:t>7.投标保证金：</w:t>
      </w:r>
      <w:bookmarkEnd w:id="116"/>
      <w:r>
        <w:rPr>
          <w:rFonts w:hint="eastAsia"/>
        </w:rPr>
        <w:t xml:space="preserve"> </w:t>
      </w:r>
    </w:p>
    <w:p>
      <w:pPr>
        <w:tabs>
          <w:tab w:val="center" w:pos="4422"/>
        </w:tabs>
        <w:spacing w:line="440" w:lineRule="exact"/>
        <w:ind w:firstLine="480" w:firstLineChars="200"/>
        <w:rPr>
          <w:rFonts w:ascii="宋体" w:hAnsi="宋体" w:cs="宋体"/>
        </w:rPr>
      </w:pPr>
      <w:r>
        <w:rPr>
          <w:rFonts w:hint="eastAsia" w:ascii="宋体" w:hAnsi="宋体" w:cs="宋体"/>
        </w:rPr>
        <w:t xml:space="preserve">7.1 发生以下情况投标保证金将不予退还： </w:t>
      </w:r>
    </w:p>
    <w:p>
      <w:pPr>
        <w:tabs>
          <w:tab w:val="center" w:pos="4422"/>
        </w:tabs>
        <w:spacing w:line="440" w:lineRule="exact"/>
        <w:ind w:firstLine="480" w:firstLineChars="200"/>
        <w:rPr>
          <w:rFonts w:ascii="宋体" w:hAnsi="宋体" w:cs="宋体"/>
        </w:rPr>
      </w:pPr>
      <w:r>
        <w:rPr>
          <w:rFonts w:hint="eastAsia" w:ascii="宋体" w:hAnsi="宋体" w:cs="宋体"/>
        </w:rPr>
        <w:t xml:space="preserve">1）投标人在投标文件递交截止时间后，撤回其投标文件的。 </w:t>
      </w:r>
    </w:p>
    <w:p>
      <w:pPr>
        <w:tabs>
          <w:tab w:val="center" w:pos="4422"/>
        </w:tabs>
        <w:spacing w:line="440" w:lineRule="exact"/>
        <w:ind w:firstLine="480" w:firstLineChars="200"/>
        <w:rPr>
          <w:rFonts w:ascii="宋体" w:hAnsi="宋体" w:cs="宋体"/>
        </w:rPr>
      </w:pPr>
      <w:r>
        <w:rPr>
          <w:rFonts w:hint="eastAsia" w:ascii="宋体" w:hAnsi="宋体" w:cs="宋体"/>
        </w:rPr>
        <w:t xml:space="preserve">2）无正当理由放弃中标或在规定期限内不与招标人签订合同的。 </w:t>
      </w:r>
    </w:p>
    <w:p>
      <w:pPr>
        <w:tabs>
          <w:tab w:val="center" w:pos="4422"/>
        </w:tabs>
        <w:spacing w:line="440" w:lineRule="exact"/>
        <w:ind w:firstLine="480" w:firstLineChars="200"/>
        <w:rPr>
          <w:rFonts w:ascii="宋体" w:hAnsi="宋体" w:cs="宋体"/>
        </w:rPr>
      </w:pPr>
      <w:r>
        <w:rPr>
          <w:rFonts w:hint="eastAsia" w:ascii="宋体" w:hAnsi="宋体" w:cs="宋体"/>
        </w:rPr>
        <w:t xml:space="preserve">3）投标人提供虚假资料的。 </w:t>
      </w:r>
    </w:p>
    <w:p>
      <w:pPr>
        <w:tabs>
          <w:tab w:val="center" w:pos="4422"/>
        </w:tabs>
        <w:spacing w:line="440" w:lineRule="exact"/>
        <w:ind w:firstLine="480" w:firstLineChars="200"/>
        <w:rPr>
          <w:rFonts w:ascii="宋体" w:hAnsi="宋体" w:cs="宋体"/>
        </w:rPr>
      </w:pPr>
      <w:r>
        <w:rPr>
          <w:rFonts w:hint="eastAsia" w:ascii="宋体" w:hAnsi="宋体" w:cs="宋体"/>
        </w:rPr>
        <w:t>4）法律法规规定的其他情形。</w:t>
      </w:r>
    </w:p>
    <w:p>
      <w:pPr>
        <w:pStyle w:val="5"/>
      </w:pPr>
      <w:bookmarkStart w:id="117" w:name="_Toc13347"/>
      <w:r>
        <w:rPr>
          <w:rFonts w:hint="eastAsia"/>
        </w:rPr>
        <w:t>8. 投标的有效期</w:t>
      </w:r>
      <w:bookmarkEnd w:id="117"/>
    </w:p>
    <w:p>
      <w:pPr>
        <w:pStyle w:val="6"/>
        <w:spacing w:line="440" w:lineRule="exact"/>
        <w:ind w:firstLine="480"/>
        <w:rPr>
          <w:rFonts w:ascii="宋体" w:hAnsi="宋体" w:cs="宋体"/>
          <w:szCs w:val="24"/>
        </w:rPr>
      </w:pPr>
      <w:r>
        <w:rPr>
          <w:rFonts w:hint="eastAsia" w:ascii="宋体" w:hAnsi="宋体" w:cs="宋体"/>
          <w:szCs w:val="24"/>
        </w:rPr>
        <w:t>8.1本项目投标有效期为投标之日起至合同实际签订之日止，在此期间内投标文件有效。投标人未在投标文件中明确投标有效期者，招标人将视为投标人接受该条款之规定。投标人可以根据情况约定具体的投标有效期，但投标有效期不得少于60天，投标有效期少于60天的，招标人可以视</w:t>
      </w:r>
      <w:r>
        <w:rPr>
          <w:rStyle w:val="38"/>
          <w:rFonts w:hint="eastAsia" w:ascii="宋体" w:hAnsi="宋体" w:cs="宋体"/>
          <w:sz w:val="24"/>
          <w:szCs w:val="24"/>
        </w:rPr>
        <w:t>其</w:t>
      </w:r>
      <w:r>
        <w:rPr>
          <w:rFonts w:hint="eastAsia" w:ascii="宋体" w:hAnsi="宋体" w:cs="宋体"/>
          <w:szCs w:val="24"/>
        </w:rPr>
        <w:t>为非响应性投标</w:t>
      </w:r>
      <w:r>
        <w:rPr>
          <w:rStyle w:val="38"/>
          <w:rFonts w:hint="eastAsia" w:ascii="宋体" w:hAnsi="宋体" w:cs="宋体"/>
          <w:sz w:val="24"/>
          <w:szCs w:val="24"/>
        </w:rPr>
        <w:t>并</w:t>
      </w:r>
      <w:r>
        <w:rPr>
          <w:rFonts w:hint="eastAsia" w:ascii="宋体" w:hAnsi="宋体" w:cs="宋体"/>
          <w:szCs w:val="24"/>
        </w:rPr>
        <w:t>认定其投标无效。</w:t>
      </w:r>
    </w:p>
    <w:p>
      <w:pPr>
        <w:tabs>
          <w:tab w:val="center" w:pos="4422"/>
        </w:tabs>
        <w:spacing w:line="440" w:lineRule="exact"/>
        <w:ind w:firstLine="480" w:firstLineChars="200"/>
        <w:rPr>
          <w:rFonts w:ascii="宋体" w:hAnsi="宋体" w:cs="宋体"/>
        </w:rPr>
      </w:pPr>
      <w:r>
        <w:rPr>
          <w:rFonts w:hint="eastAsia" w:ascii="宋体" w:hAnsi="宋体" w:cs="宋体"/>
        </w:rPr>
        <w:t>8.2特殊情况下，在原投标有效期截止之前，招标人可要求投标人延长投标有效期。这种要求与答复均应以书面形式提交，投标人可拒绝招标人的这种要求，其投标在原投标有效期期满后将不再有效。</w:t>
      </w:r>
    </w:p>
    <w:p>
      <w:pPr>
        <w:pStyle w:val="5"/>
      </w:pPr>
      <w:bookmarkStart w:id="118" w:name="_Toc2809"/>
      <w:r>
        <w:rPr>
          <w:rFonts w:hint="eastAsia"/>
        </w:rPr>
        <w:t>9. 投标文件的数量和签署</w:t>
      </w:r>
      <w:bookmarkEnd w:id="118"/>
    </w:p>
    <w:p>
      <w:pPr>
        <w:spacing w:line="440" w:lineRule="exact"/>
        <w:ind w:firstLine="480" w:firstLineChars="200"/>
        <w:rPr>
          <w:rFonts w:ascii="宋体" w:hAnsi="宋体" w:cs="宋体"/>
        </w:rPr>
      </w:pPr>
      <w:r>
        <w:rPr>
          <w:rFonts w:hint="eastAsia" w:ascii="宋体" w:hAnsi="宋体" w:cs="宋体"/>
        </w:rPr>
        <w:t>9.1投标人应编制投标文件一式</w:t>
      </w:r>
      <w:r>
        <w:rPr>
          <w:rFonts w:hint="eastAsia" w:cs="宋体"/>
        </w:rPr>
        <w:t>叁</w:t>
      </w:r>
      <w:r>
        <w:rPr>
          <w:rFonts w:hint="eastAsia" w:ascii="宋体" w:hAnsi="宋体" w:cs="宋体"/>
        </w:rPr>
        <w:t>份，其中正本壹份和副本</w:t>
      </w:r>
      <w:r>
        <w:rPr>
          <w:rFonts w:hint="eastAsia" w:cs="宋体"/>
        </w:rPr>
        <w:t>贰</w:t>
      </w:r>
      <w:r>
        <w:rPr>
          <w:rFonts w:hint="eastAsia" w:ascii="宋体" w:hAnsi="宋体" w:cs="宋体"/>
        </w:rPr>
        <w:t>份，投标文件的副本可采用正本的复印件。若副本与正本不符，以正本为准。投标文件没有注明正本和副本的，招标人可以任意一本作为正本。投标文件只有副本没有正本的，其投标无效。</w:t>
      </w:r>
    </w:p>
    <w:p>
      <w:pPr>
        <w:spacing w:line="440" w:lineRule="exact"/>
        <w:ind w:firstLine="480" w:firstLineChars="200"/>
        <w:rPr>
          <w:rFonts w:ascii="宋体" w:hAnsi="宋体" w:cs="宋体"/>
          <w:w w:val="95"/>
        </w:rPr>
      </w:pPr>
      <w:r>
        <w:rPr>
          <w:rFonts w:hint="eastAsia" w:ascii="宋体" w:hAnsi="宋体" w:cs="宋体"/>
        </w:rPr>
        <w:t>9.2投标文件正、副本都应装订成册，不得有松散页，并在封面上正确标明“正本”、“副本”字样，加盖投标单位公章和法定代表人印鉴。</w:t>
      </w:r>
    </w:p>
    <w:p>
      <w:pPr>
        <w:spacing w:line="440" w:lineRule="exact"/>
        <w:ind w:firstLine="480" w:firstLineChars="200"/>
        <w:rPr>
          <w:rFonts w:ascii="宋体" w:hAnsi="宋体" w:cs="宋体"/>
          <w:w w:val="95"/>
        </w:rPr>
      </w:pPr>
      <w:r>
        <w:rPr>
          <w:rFonts w:hint="eastAsia" w:ascii="宋体" w:hAnsi="宋体" w:cs="宋体"/>
        </w:rPr>
        <w:t>9.3投标文件正本和副本除签名外，全部采用不褪色的黑色打印（证明文件除外），不得涂改。</w:t>
      </w:r>
    </w:p>
    <w:p>
      <w:pPr>
        <w:tabs>
          <w:tab w:val="left" w:pos="525"/>
        </w:tabs>
        <w:spacing w:line="440" w:lineRule="exact"/>
        <w:ind w:firstLine="480" w:firstLineChars="200"/>
        <w:rPr>
          <w:rFonts w:ascii="宋体" w:hAnsi="宋体" w:cs="宋体"/>
        </w:rPr>
      </w:pPr>
      <w:r>
        <w:rPr>
          <w:rFonts w:hint="eastAsia" w:ascii="宋体" w:hAnsi="宋体" w:cs="宋体"/>
        </w:rPr>
        <w:t>9.4 投标文件文本一律采用A4规格的白色纸张，黑色打印。版面整洁、字迹清楚、不许涂改。</w:t>
      </w:r>
    </w:p>
    <w:p>
      <w:pPr>
        <w:spacing w:line="440" w:lineRule="exact"/>
        <w:ind w:firstLine="480" w:firstLineChars="200"/>
        <w:rPr>
          <w:rFonts w:ascii="宋体" w:hAnsi="宋体" w:cs="宋体"/>
        </w:rPr>
      </w:pPr>
      <w:r>
        <w:rPr>
          <w:rFonts w:hint="eastAsia" w:ascii="宋体" w:hAnsi="宋体" w:cs="宋体"/>
        </w:rPr>
        <w:t>9.5 投标文件必须按招标文件规定的格式要求签字或盖章。</w:t>
      </w:r>
    </w:p>
    <w:p>
      <w:pPr>
        <w:pStyle w:val="5"/>
      </w:pPr>
      <w:bookmarkStart w:id="119" w:name="_Toc278891594"/>
      <w:bookmarkStart w:id="120" w:name="_Toc272247697"/>
      <w:bookmarkStart w:id="121" w:name="_Toc363813386"/>
      <w:bookmarkStart w:id="122" w:name="_Toc16050"/>
      <w:r>
        <w:rPr>
          <w:rFonts w:hint="eastAsia"/>
        </w:rPr>
        <w:t>10、投标文件的递交</w:t>
      </w:r>
      <w:bookmarkEnd w:id="119"/>
      <w:bookmarkEnd w:id="120"/>
      <w:bookmarkEnd w:id="121"/>
      <w:bookmarkEnd w:id="122"/>
    </w:p>
    <w:p>
      <w:pPr>
        <w:adjustRightInd w:val="0"/>
        <w:snapToGrid w:val="0"/>
        <w:spacing w:beforeLines="50" w:line="440" w:lineRule="exact"/>
        <w:ind w:firstLine="480" w:firstLineChars="200"/>
        <w:rPr>
          <w:rFonts w:ascii="宋体" w:hAnsi="宋体" w:cs="宋体"/>
        </w:rPr>
      </w:pPr>
      <w:r>
        <w:rPr>
          <w:rFonts w:hint="eastAsia" w:ascii="宋体" w:hAnsi="宋体" w:cs="宋体"/>
        </w:rPr>
        <w:t>10.1 投标文件的密封</w:t>
      </w:r>
    </w:p>
    <w:p>
      <w:pPr>
        <w:spacing w:line="440" w:lineRule="exact"/>
        <w:ind w:firstLine="480" w:firstLineChars="200"/>
        <w:rPr>
          <w:rFonts w:ascii="宋体" w:hAnsi="宋体" w:cs="宋体"/>
        </w:rPr>
      </w:pPr>
      <w:r>
        <w:rPr>
          <w:rFonts w:hint="eastAsia" w:ascii="宋体" w:hAnsi="宋体" w:cs="宋体"/>
        </w:rPr>
        <w:t>投标人应将投标文件密封包装，投标文件正副本一个密封封包，封包上应写明招标人名称、项目名称、投标人名称字样，并在密封处加盖公章。如果未密封包装，招标人不承担投标文件泄密责任。</w:t>
      </w:r>
    </w:p>
    <w:p>
      <w:pPr>
        <w:spacing w:line="440" w:lineRule="exact"/>
        <w:ind w:firstLine="480" w:firstLineChars="200"/>
        <w:rPr>
          <w:rFonts w:ascii="宋体" w:hAnsi="宋体" w:cs="宋体"/>
        </w:rPr>
      </w:pPr>
      <w:r>
        <w:rPr>
          <w:rFonts w:hint="eastAsia" w:ascii="宋体" w:hAnsi="宋体" w:cs="宋体"/>
        </w:rPr>
        <w:t>10.2投标文件的递交</w:t>
      </w:r>
    </w:p>
    <w:p>
      <w:pPr>
        <w:spacing w:line="440" w:lineRule="exact"/>
        <w:ind w:firstLine="480" w:firstLineChars="200"/>
        <w:rPr>
          <w:rFonts w:ascii="宋体" w:hAnsi="宋体" w:cs="宋体"/>
        </w:rPr>
      </w:pPr>
      <w:r>
        <w:rPr>
          <w:rFonts w:hint="eastAsia" w:ascii="宋体" w:hAnsi="宋体" w:cs="宋体"/>
        </w:rPr>
        <w:t>10.2.1 投标人递交投标文件的截止时间（投标截止时间）：见投标人须知前附表。</w:t>
      </w:r>
    </w:p>
    <w:p>
      <w:pPr>
        <w:spacing w:line="440" w:lineRule="exact"/>
        <w:ind w:firstLine="480" w:firstLineChars="200"/>
        <w:rPr>
          <w:rFonts w:ascii="宋体" w:hAnsi="宋体" w:cs="宋体"/>
        </w:rPr>
      </w:pPr>
      <w:r>
        <w:rPr>
          <w:rFonts w:hint="eastAsia" w:ascii="宋体" w:hAnsi="宋体" w:cs="宋体"/>
        </w:rPr>
        <w:t>10.2.2 投标人应当在投标截止时间前，递交投标文件。</w:t>
      </w:r>
    </w:p>
    <w:p>
      <w:pPr>
        <w:spacing w:line="440" w:lineRule="exact"/>
        <w:ind w:firstLine="480" w:firstLineChars="200"/>
        <w:rPr>
          <w:rFonts w:ascii="宋体" w:hAnsi="宋体" w:cs="宋体"/>
        </w:rPr>
      </w:pPr>
      <w:r>
        <w:rPr>
          <w:rFonts w:hint="eastAsia" w:ascii="宋体" w:hAnsi="宋体" w:cs="宋体"/>
        </w:rPr>
        <w:t>10.2.3 除投标人须知前附表另有规定外，投标人所递交的投标文件不予退还。</w:t>
      </w:r>
    </w:p>
    <w:p>
      <w:pPr>
        <w:pStyle w:val="5"/>
      </w:pPr>
      <w:bookmarkStart w:id="123" w:name="_Toc2570"/>
      <w:r>
        <w:rPr>
          <w:rFonts w:hint="eastAsia"/>
        </w:rPr>
        <w:t>11. 投标截止时间</w:t>
      </w:r>
      <w:bookmarkEnd w:id="123"/>
    </w:p>
    <w:p>
      <w:pPr>
        <w:spacing w:line="440" w:lineRule="exact"/>
        <w:ind w:firstLine="480" w:firstLineChars="200"/>
        <w:rPr>
          <w:rFonts w:ascii="宋体" w:hAnsi="宋体" w:cs="宋体"/>
        </w:rPr>
      </w:pPr>
      <w:r>
        <w:rPr>
          <w:rFonts w:hint="eastAsia" w:ascii="宋体" w:hAnsi="宋体" w:cs="宋体"/>
        </w:rPr>
        <w:t>11.1投标文件递交的起止时间，详见前附表。</w:t>
      </w:r>
    </w:p>
    <w:p>
      <w:pPr>
        <w:pStyle w:val="5"/>
      </w:pPr>
      <w:bookmarkStart w:id="124" w:name="_Toc1772"/>
      <w:r>
        <w:rPr>
          <w:rFonts w:hint="eastAsia"/>
        </w:rPr>
        <w:t>12. 迟交的投标文件</w:t>
      </w:r>
      <w:bookmarkEnd w:id="124"/>
    </w:p>
    <w:p>
      <w:pPr>
        <w:pStyle w:val="15"/>
        <w:adjustRightInd w:val="0"/>
        <w:snapToGrid w:val="0"/>
        <w:spacing w:line="440" w:lineRule="exact"/>
        <w:ind w:firstLine="470" w:firstLineChars="196"/>
        <w:rPr>
          <w:rFonts w:hAnsi="宋体"/>
          <w:szCs w:val="24"/>
        </w:rPr>
      </w:pPr>
      <w:r>
        <w:rPr>
          <w:rFonts w:hint="eastAsia" w:hAnsi="宋体"/>
          <w:szCs w:val="24"/>
        </w:rPr>
        <w:t>1</w:t>
      </w:r>
      <w:r>
        <w:rPr>
          <w:rFonts w:hint="eastAsia" w:hAnsi="宋体"/>
          <w:szCs w:val="24"/>
          <w:lang w:eastAsia="zh-CN"/>
        </w:rPr>
        <w:t>2</w:t>
      </w:r>
      <w:r>
        <w:rPr>
          <w:rFonts w:hint="eastAsia" w:hAnsi="宋体"/>
          <w:szCs w:val="24"/>
        </w:rPr>
        <w:t>.1招标人拒绝并原封退回投标截止期后递交的投标文件。</w:t>
      </w:r>
    </w:p>
    <w:p>
      <w:pPr>
        <w:pStyle w:val="5"/>
      </w:pPr>
      <w:bookmarkStart w:id="125" w:name="_Toc31798"/>
      <w:r>
        <w:rPr>
          <w:rFonts w:hint="eastAsia"/>
        </w:rPr>
        <w:t>13. 投标文件的修改和撤回</w:t>
      </w:r>
      <w:bookmarkEnd w:id="125"/>
    </w:p>
    <w:p>
      <w:pPr>
        <w:pStyle w:val="6"/>
        <w:spacing w:line="440" w:lineRule="exact"/>
        <w:ind w:firstLine="432" w:firstLineChars="180"/>
        <w:rPr>
          <w:rFonts w:ascii="宋体" w:hAnsi="宋体" w:cs="宋体"/>
          <w:szCs w:val="24"/>
        </w:rPr>
      </w:pPr>
      <w:r>
        <w:rPr>
          <w:rFonts w:hint="eastAsia" w:ascii="宋体" w:hAnsi="宋体" w:cs="宋体"/>
          <w:szCs w:val="24"/>
        </w:rPr>
        <w:t>13.1投标人在递交投标文件后，可以修改其投标文件，但投标人必须在规定的投标截止时间之前将修改的投标文件递交到招标人规定的投标文件送达地点。在投标截止时间之后，投标人不得对其投标文件做任何修改。</w:t>
      </w:r>
    </w:p>
    <w:p>
      <w:pPr>
        <w:pStyle w:val="6"/>
        <w:spacing w:line="440" w:lineRule="exact"/>
        <w:ind w:firstLine="480"/>
        <w:rPr>
          <w:rFonts w:ascii="宋体" w:hAnsi="宋体" w:cs="宋体"/>
          <w:szCs w:val="24"/>
        </w:rPr>
      </w:pPr>
      <w:r>
        <w:rPr>
          <w:rFonts w:hint="eastAsia" w:ascii="宋体" w:hAnsi="宋体" w:cs="宋体"/>
          <w:szCs w:val="24"/>
        </w:rPr>
        <w:t>13.2投标人在递交投标文件后，可以撤回其投标，但投标人必须在规定的投标截止时间之前以书面形式告知招标人。</w:t>
      </w:r>
    </w:p>
    <w:p>
      <w:pPr>
        <w:pStyle w:val="6"/>
        <w:spacing w:line="440" w:lineRule="exact"/>
        <w:ind w:firstLine="480"/>
        <w:rPr>
          <w:rFonts w:ascii="宋体" w:hAnsi="宋体" w:cs="宋体"/>
          <w:szCs w:val="24"/>
        </w:rPr>
      </w:pPr>
      <w:r>
        <w:rPr>
          <w:rFonts w:hint="eastAsia" w:ascii="宋体" w:hAnsi="宋体" w:cs="宋体"/>
          <w:szCs w:val="24"/>
        </w:rPr>
        <w:t xml:space="preserve">13.3从投标截止时间至投标人在投标文件中确定的投标有效期期满这段时间内，投标人不得撤回其投标文件。 </w:t>
      </w:r>
    </w:p>
    <w:p>
      <w:pPr>
        <w:pStyle w:val="6"/>
        <w:spacing w:line="440" w:lineRule="exact"/>
        <w:ind w:firstLine="480"/>
        <w:rPr>
          <w:rFonts w:ascii="宋体" w:hAnsi="宋体" w:cs="宋体"/>
          <w:szCs w:val="24"/>
        </w:rPr>
      </w:pPr>
      <w:r>
        <w:rPr>
          <w:rFonts w:hint="eastAsia" w:ascii="宋体" w:hAnsi="宋体" w:cs="宋体"/>
          <w:szCs w:val="24"/>
        </w:rPr>
        <w:t>13.4投标人所提交的投标文件无论是否评审以及结果如何都不退还。</w:t>
      </w:r>
      <w:bookmarkStart w:id="126" w:name="_Toc363813387"/>
      <w:bookmarkStart w:id="127" w:name="_Toc278891595"/>
      <w:bookmarkStart w:id="128" w:name="_Toc272247698"/>
    </w:p>
    <w:p>
      <w:pPr>
        <w:pStyle w:val="5"/>
      </w:pPr>
      <w:bookmarkStart w:id="129" w:name="_Toc32375"/>
      <w:r>
        <w:rPr>
          <w:rFonts w:hint="eastAsia"/>
        </w:rPr>
        <w:t>14、</w:t>
      </w:r>
      <w:bookmarkEnd w:id="126"/>
      <w:bookmarkEnd w:id="127"/>
      <w:bookmarkEnd w:id="128"/>
      <w:r>
        <w:rPr>
          <w:rFonts w:hint="eastAsia"/>
        </w:rPr>
        <w:t>开标、评审与成交</w:t>
      </w:r>
      <w:bookmarkEnd w:id="129"/>
    </w:p>
    <w:p>
      <w:pPr>
        <w:pStyle w:val="5"/>
        <w:rPr>
          <w:rFonts w:ascii="宋体" w:hAnsi="宋体" w:eastAsia="宋体" w:cs="宋体"/>
          <w:color w:val="auto"/>
          <w:szCs w:val="24"/>
        </w:rPr>
      </w:pPr>
      <w:bookmarkStart w:id="130" w:name="_Toc8073"/>
      <w:r>
        <w:rPr>
          <w:rFonts w:hint="eastAsia"/>
        </w:rPr>
        <w:t>15. 开标</w:t>
      </w:r>
      <w:bookmarkEnd w:id="130"/>
    </w:p>
    <w:p>
      <w:pPr>
        <w:spacing w:line="440" w:lineRule="exact"/>
        <w:ind w:firstLine="480" w:firstLineChars="200"/>
        <w:rPr>
          <w:rFonts w:ascii="宋体" w:hAnsi="宋体" w:cs="宋体"/>
        </w:rPr>
      </w:pPr>
      <w:r>
        <w:rPr>
          <w:rFonts w:hint="eastAsia" w:ascii="宋体" w:hAnsi="宋体" w:cs="宋体"/>
        </w:rPr>
        <w:t>15.1在《招标文件》中约定的日期、时间和地点组织开标大会。投标人拟派的委托人当作为投标人代表按时参加开标会，并按开标程序进行点名时，向招标人提交身份证和法人授权委托书查验，以证明其出席。招标人核实确认，工作人员如实记入开标记录。投标人的委托人未参加开标会的，或参加开标会的投标人代表与投标文件中拟派的委托人不一致的，其投标将被否决。</w:t>
      </w:r>
    </w:p>
    <w:p>
      <w:pPr>
        <w:spacing w:line="440" w:lineRule="exact"/>
        <w:ind w:firstLine="480" w:firstLineChars="200"/>
        <w:rPr>
          <w:rFonts w:ascii="宋体" w:hAnsi="宋体" w:cs="宋体"/>
        </w:rPr>
      </w:pPr>
      <w:r>
        <w:rPr>
          <w:rFonts w:hint="eastAsia" w:ascii="宋体" w:hAnsi="宋体" w:cs="宋体"/>
        </w:rPr>
        <w:t>15.2开标大会时，由投标人代表检查各自纸质投标文件的密封情况，经确认无误后，宣读投标人名称、投标报价、项目负责人姓名及其他内容，并记录在案。</w:t>
      </w:r>
    </w:p>
    <w:p>
      <w:pPr>
        <w:spacing w:line="440" w:lineRule="exact"/>
        <w:ind w:firstLine="480" w:firstLineChars="200"/>
        <w:rPr>
          <w:rFonts w:ascii="宋体" w:hAnsi="宋体" w:cs="宋体"/>
        </w:rPr>
      </w:pPr>
      <w:r>
        <w:rPr>
          <w:rFonts w:hint="eastAsia" w:ascii="宋体" w:hAnsi="宋体" w:cs="宋体"/>
        </w:rPr>
        <w:t>15.3对不同文字文本投标文件的解释发生异议的，以中文文本为准。</w:t>
      </w:r>
    </w:p>
    <w:p>
      <w:pPr>
        <w:pStyle w:val="5"/>
      </w:pPr>
      <w:bookmarkStart w:id="131" w:name="_Toc6719"/>
      <w:r>
        <w:rPr>
          <w:rFonts w:hint="eastAsia"/>
        </w:rPr>
        <w:t>16. 评审委员会的组成和评审方法</w:t>
      </w:r>
      <w:bookmarkEnd w:id="131"/>
    </w:p>
    <w:p>
      <w:pPr>
        <w:spacing w:line="440" w:lineRule="exact"/>
        <w:ind w:firstLine="480" w:firstLineChars="200"/>
        <w:rPr>
          <w:rFonts w:ascii="宋体" w:hAnsi="宋体" w:cs="宋体"/>
        </w:rPr>
      </w:pPr>
      <w:r>
        <w:rPr>
          <w:rFonts w:hint="eastAsia" w:ascii="宋体" w:hAnsi="宋体" w:cs="宋体"/>
        </w:rPr>
        <w:t>16.1评审委员会的组成，评审委员会由</w:t>
      </w:r>
      <w:r>
        <w:rPr>
          <w:rFonts w:hint="eastAsia" w:cs="宋体"/>
          <w:b/>
          <w:bCs/>
        </w:rPr>
        <w:t>3</w:t>
      </w:r>
      <w:r>
        <w:rPr>
          <w:rFonts w:hint="eastAsia" w:ascii="宋体" w:hAnsi="宋体" w:cs="宋体"/>
          <w:b/>
          <w:bCs/>
        </w:rPr>
        <w:t>人</w:t>
      </w:r>
      <w:r>
        <w:rPr>
          <w:rFonts w:hint="eastAsia" w:ascii="宋体" w:hAnsi="宋体" w:cs="宋体"/>
        </w:rPr>
        <w:t>组成。</w:t>
      </w:r>
    </w:p>
    <w:p>
      <w:pPr>
        <w:spacing w:line="440" w:lineRule="exact"/>
        <w:ind w:firstLine="480" w:firstLineChars="200"/>
        <w:rPr>
          <w:rFonts w:ascii="宋体" w:hAnsi="宋体" w:cs="宋体"/>
        </w:rPr>
      </w:pPr>
      <w:r>
        <w:rPr>
          <w:rFonts w:hint="eastAsia" w:ascii="宋体" w:hAnsi="宋体" w:cs="宋体"/>
        </w:rPr>
        <w:t>16.2 评审委员会将按照招标文件确定的评审方法进行评审。评审委员会对投标文件的评审分为投标文件初审、澄清有关问题、比较与评价投标文件、出具评标报告。</w:t>
      </w:r>
    </w:p>
    <w:p>
      <w:pPr>
        <w:pStyle w:val="6"/>
        <w:spacing w:line="440" w:lineRule="exact"/>
        <w:ind w:firstLine="480"/>
        <w:rPr>
          <w:rFonts w:ascii="宋体" w:hAnsi="宋体" w:cs="宋体"/>
          <w:szCs w:val="24"/>
        </w:rPr>
      </w:pPr>
      <w:r>
        <w:rPr>
          <w:rFonts w:hint="eastAsia" w:ascii="宋体" w:hAnsi="宋体" w:cs="宋体"/>
          <w:szCs w:val="24"/>
        </w:rPr>
        <w:t>16.3本项目评审方法详见招标文件“评审方法、步骤及标准”。</w:t>
      </w:r>
    </w:p>
    <w:p>
      <w:pPr>
        <w:pStyle w:val="5"/>
      </w:pPr>
      <w:bookmarkStart w:id="132" w:name="_Toc20491"/>
      <w:r>
        <w:rPr>
          <w:rFonts w:hint="eastAsia"/>
        </w:rPr>
        <w:t>17. 评审、定标及相关问题</w:t>
      </w:r>
      <w:bookmarkEnd w:id="132"/>
    </w:p>
    <w:p>
      <w:pPr>
        <w:pStyle w:val="6"/>
        <w:spacing w:line="440" w:lineRule="exact"/>
        <w:ind w:firstLine="480"/>
        <w:rPr>
          <w:rFonts w:ascii="宋体" w:hAnsi="宋体" w:cs="宋体"/>
          <w:szCs w:val="24"/>
        </w:rPr>
      </w:pPr>
      <w:r>
        <w:rPr>
          <w:rFonts w:hint="eastAsia" w:ascii="宋体" w:hAnsi="宋体" w:cs="宋体"/>
          <w:szCs w:val="24"/>
        </w:rPr>
        <w:t>17.1评审委员会将按照本招标文件的相关要求对投标文件进行评审并确定中标单位，详见招标文件“评审方法、步骤及标准”。</w:t>
      </w:r>
      <w:bookmarkStart w:id="133" w:name="_Toc272247699"/>
      <w:bookmarkStart w:id="134" w:name="_Toc363813388"/>
      <w:bookmarkStart w:id="135" w:name="_Toc278891596"/>
    </w:p>
    <w:p>
      <w:pPr>
        <w:pStyle w:val="6"/>
        <w:spacing w:line="440" w:lineRule="exact"/>
        <w:ind w:firstLine="480"/>
        <w:rPr>
          <w:rFonts w:ascii="宋体" w:hAnsi="宋体" w:cs="宋体"/>
          <w:bCs/>
          <w:szCs w:val="24"/>
        </w:rPr>
      </w:pPr>
      <w:r>
        <w:rPr>
          <w:rFonts w:hint="eastAsia" w:ascii="宋体" w:hAnsi="宋体" w:cs="宋体"/>
          <w:szCs w:val="24"/>
        </w:rPr>
        <w:t>17.2</w:t>
      </w:r>
      <w:r>
        <w:rPr>
          <w:rFonts w:hint="eastAsia" w:ascii="宋体" w:hAnsi="宋体" w:cs="宋体"/>
          <w:bCs/>
          <w:szCs w:val="24"/>
        </w:rPr>
        <w:t>中标原则：</w:t>
      </w:r>
    </w:p>
    <w:p>
      <w:pPr>
        <w:pStyle w:val="6"/>
        <w:spacing w:line="440" w:lineRule="exact"/>
        <w:ind w:firstLine="480"/>
        <w:rPr>
          <w:rFonts w:ascii="宋体" w:hAnsi="宋体" w:cs="宋体"/>
          <w:szCs w:val="24"/>
        </w:rPr>
      </w:pPr>
      <w:r>
        <w:rPr>
          <w:rFonts w:hint="eastAsia" w:ascii="宋体" w:hAnsi="宋体" w:cs="宋体"/>
          <w:szCs w:val="24"/>
        </w:rPr>
        <w:t>评标委员会完成评标后，应当向招标人提出书面评标报告，阐明评标委员会对各投标文件的评审和比较意见，并按照招标文件中规定的评标方法，推荐3名有排序的合格的中标候选人。</w:t>
      </w:r>
    </w:p>
    <w:p>
      <w:pPr>
        <w:pStyle w:val="6"/>
        <w:spacing w:line="440" w:lineRule="exact"/>
        <w:ind w:firstLine="480"/>
        <w:rPr>
          <w:rFonts w:ascii="宋体" w:hAnsi="宋体" w:cs="宋体"/>
          <w:szCs w:val="24"/>
        </w:rPr>
      </w:pPr>
      <w:r>
        <w:rPr>
          <w:rFonts w:hint="eastAsia" w:ascii="宋体" w:hAnsi="宋体" w:cs="宋体"/>
          <w:szCs w:val="24"/>
        </w:rPr>
        <w:t>17.3招标人应当确定排名第一中标候选人为中标人。排名第一的中标候选人放弃中标、因不可抗力不能履行合同、不按照招标文件要求提交履约保证金，或者被查实存在影响中标结果的违法行为等情形，不符合中标条件的，招标人可以按照中标候选人名单排序依次确定其他中标候选人为中标人,也可以重新招标。</w:t>
      </w:r>
    </w:p>
    <w:bookmarkEnd w:id="133"/>
    <w:bookmarkEnd w:id="134"/>
    <w:bookmarkEnd w:id="135"/>
    <w:p>
      <w:pPr>
        <w:pStyle w:val="5"/>
      </w:pPr>
      <w:bookmarkStart w:id="136" w:name="_Toc15828"/>
      <w:r>
        <w:rPr>
          <w:rFonts w:hint="eastAsia"/>
        </w:rPr>
        <w:t>18.签订合同</w:t>
      </w:r>
      <w:bookmarkEnd w:id="136"/>
    </w:p>
    <w:p>
      <w:pPr>
        <w:pStyle w:val="6"/>
        <w:spacing w:line="440" w:lineRule="exact"/>
        <w:ind w:firstLine="480"/>
        <w:rPr>
          <w:rFonts w:ascii="宋体" w:hAnsi="宋体" w:cs="宋体"/>
          <w:szCs w:val="24"/>
        </w:rPr>
      </w:pPr>
      <w:bookmarkStart w:id="137" w:name="_Toc278891597"/>
      <w:bookmarkStart w:id="138" w:name="_Toc272247700"/>
      <w:r>
        <w:rPr>
          <w:rFonts w:hint="eastAsia" w:ascii="宋体" w:hAnsi="宋体" w:cs="宋体"/>
          <w:szCs w:val="24"/>
        </w:rPr>
        <w:t>18.1.招标文件对履约保证金有规定的，中标人应按规定在签订合同前缴纳履约保证金。有关履约保证金的规定《投标人须知前附表》。</w:t>
      </w:r>
    </w:p>
    <w:p>
      <w:pPr>
        <w:pStyle w:val="15"/>
        <w:spacing w:line="440" w:lineRule="exact"/>
        <w:ind w:firstLine="480" w:firstLineChars="200"/>
        <w:rPr>
          <w:b/>
          <w:sz w:val="32"/>
          <w:szCs w:val="32"/>
          <w:lang w:eastAsia="zh-CN"/>
        </w:rPr>
      </w:pPr>
      <w:r>
        <w:rPr>
          <w:rFonts w:hint="eastAsia" w:hAnsi="宋体"/>
          <w:lang w:eastAsia="zh-CN"/>
        </w:rPr>
        <w:t>18</w:t>
      </w:r>
      <w:r>
        <w:rPr>
          <w:rFonts w:hint="eastAsia" w:hAnsi="宋体"/>
        </w:rPr>
        <w:t>.</w:t>
      </w:r>
      <w:r>
        <w:rPr>
          <w:rFonts w:hint="eastAsia" w:hAnsi="宋体"/>
          <w:lang w:eastAsia="zh-CN"/>
        </w:rPr>
        <w:t>2</w:t>
      </w:r>
      <w:r>
        <w:rPr>
          <w:rFonts w:hint="eastAsia" w:hAnsi="宋体"/>
        </w:rPr>
        <w:t xml:space="preserve">中标人收到《中标通知书》后30日内应按招标文件要求和投标文件承诺与中标人订立书面合同，合同不得超出招标文件和中标人投标文件的范围，也不得另行订立背离合同实质性内容的其他协议。 </w:t>
      </w:r>
      <w:bookmarkEnd w:id="137"/>
      <w:bookmarkEnd w:id="138"/>
    </w:p>
    <w:p>
      <w:pPr>
        <w:spacing w:line="360" w:lineRule="auto"/>
        <w:jc w:val="center"/>
        <w:outlineLvl w:val="0"/>
        <w:rPr>
          <w:rStyle w:val="87"/>
          <w:sz w:val="36"/>
          <w:szCs w:val="36"/>
          <w:lang w:eastAsia="zh-CN"/>
        </w:rPr>
      </w:pPr>
      <w:bookmarkStart w:id="139" w:name="_Toc9840"/>
    </w:p>
    <w:p>
      <w:pPr>
        <w:spacing w:line="360" w:lineRule="auto"/>
        <w:jc w:val="center"/>
        <w:outlineLvl w:val="0"/>
        <w:rPr>
          <w:rStyle w:val="87"/>
          <w:sz w:val="36"/>
          <w:szCs w:val="36"/>
          <w:lang w:eastAsia="zh-CN"/>
        </w:rPr>
      </w:pPr>
    </w:p>
    <w:p>
      <w:pPr>
        <w:spacing w:line="360" w:lineRule="auto"/>
        <w:jc w:val="center"/>
        <w:outlineLvl w:val="0"/>
        <w:rPr>
          <w:rStyle w:val="87"/>
          <w:sz w:val="36"/>
          <w:szCs w:val="36"/>
          <w:lang w:eastAsia="zh-CN"/>
        </w:rPr>
      </w:pPr>
    </w:p>
    <w:p>
      <w:pPr>
        <w:spacing w:line="360" w:lineRule="auto"/>
        <w:jc w:val="center"/>
        <w:outlineLvl w:val="0"/>
        <w:rPr>
          <w:rStyle w:val="87"/>
          <w:sz w:val="36"/>
          <w:szCs w:val="36"/>
          <w:lang w:eastAsia="zh-CN"/>
        </w:rPr>
      </w:pPr>
    </w:p>
    <w:p>
      <w:pPr>
        <w:spacing w:line="360" w:lineRule="auto"/>
        <w:jc w:val="center"/>
        <w:outlineLvl w:val="0"/>
        <w:rPr>
          <w:rStyle w:val="87"/>
          <w:sz w:val="36"/>
          <w:szCs w:val="36"/>
          <w:lang w:eastAsia="zh-CN"/>
        </w:rPr>
      </w:pPr>
    </w:p>
    <w:p>
      <w:pPr>
        <w:spacing w:line="360" w:lineRule="auto"/>
        <w:jc w:val="center"/>
        <w:outlineLvl w:val="0"/>
        <w:rPr>
          <w:rStyle w:val="87"/>
          <w:sz w:val="36"/>
          <w:szCs w:val="36"/>
          <w:lang w:eastAsia="zh-CN"/>
        </w:rPr>
      </w:pPr>
    </w:p>
    <w:p>
      <w:pPr>
        <w:spacing w:line="360" w:lineRule="auto"/>
        <w:jc w:val="center"/>
        <w:outlineLvl w:val="0"/>
        <w:rPr>
          <w:rStyle w:val="87"/>
          <w:sz w:val="36"/>
          <w:szCs w:val="36"/>
          <w:lang w:eastAsia="zh-CN"/>
        </w:rPr>
      </w:pPr>
    </w:p>
    <w:p>
      <w:pPr>
        <w:spacing w:line="360" w:lineRule="auto"/>
        <w:jc w:val="center"/>
        <w:outlineLvl w:val="0"/>
        <w:rPr>
          <w:rStyle w:val="87"/>
          <w:sz w:val="36"/>
          <w:szCs w:val="36"/>
          <w:lang w:eastAsia="zh-CN"/>
        </w:rPr>
      </w:pPr>
    </w:p>
    <w:p>
      <w:pPr>
        <w:spacing w:line="360" w:lineRule="auto"/>
        <w:jc w:val="center"/>
        <w:outlineLvl w:val="0"/>
        <w:rPr>
          <w:rStyle w:val="87"/>
          <w:rFonts w:asciiTheme="minorEastAsia" w:hAnsiTheme="minorEastAsia" w:eastAsiaTheme="minorEastAsia" w:cstheme="minorEastAsia"/>
          <w:lang w:eastAsia="zh-CN"/>
        </w:rPr>
      </w:pPr>
      <w:bookmarkStart w:id="140" w:name="_Toc1055"/>
      <w:r>
        <w:rPr>
          <w:rStyle w:val="87"/>
          <w:rFonts w:hint="eastAsia" w:asciiTheme="minorEastAsia" w:hAnsiTheme="minorEastAsia" w:eastAsiaTheme="minorEastAsia" w:cstheme="minorEastAsia"/>
          <w:lang w:eastAsia="zh-CN"/>
        </w:rPr>
        <w:t>第三章 评分办法</w:t>
      </w:r>
      <w:bookmarkEnd w:id="139"/>
      <w:bookmarkEnd w:id="140"/>
    </w:p>
    <w:p>
      <w:pPr>
        <w:pStyle w:val="6"/>
        <w:spacing w:line="460" w:lineRule="exact"/>
        <w:ind w:firstLine="472" w:firstLineChars="196"/>
        <w:rPr>
          <w:rFonts w:ascii="宋体" w:hAnsi="宋体"/>
          <w:b/>
          <w:bCs/>
          <w:szCs w:val="24"/>
        </w:rPr>
      </w:pPr>
      <w:r>
        <w:rPr>
          <w:rFonts w:ascii="宋体" w:hAnsi="宋体"/>
          <w:b/>
          <w:bCs/>
          <w:szCs w:val="24"/>
        </w:rPr>
        <w:t>一、</w:t>
      </w:r>
      <w:r>
        <w:rPr>
          <w:rFonts w:hint="eastAsia" w:ascii="宋体" w:hAnsi="宋体"/>
          <w:b/>
          <w:bCs/>
          <w:szCs w:val="24"/>
        </w:rPr>
        <w:t>评审</w:t>
      </w:r>
      <w:r>
        <w:rPr>
          <w:rFonts w:ascii="宋体" w:hAnsi="宋体"/>
          <w:b/>
          <w:bCs/>
          <w:szCs w:val="24"/>
        </w:rPr>
        <w:t>方法</w:t>
      </w:r>
    </w:p>
    <w:p>
      <w:pPr>
        <w:spacing w:line="460" w:lineRule="exact"/>
        <w:ind w:firstLine="570"/>
        <w:rPr>
          <w:rFonts w:ascii="宋体" w:hAnsi="宋体"/>
        </w:rPr>
      </w:pPr>
      <w:r>
        <w:rPr>
          <w:rFonts w:ascii="宋体" w:hAnsi="宋体"/>
        </w:rPr>
        <w:t>本次</w:t>
      </w:r>
      <w:r>
        <w:rPr>
          <w:rFonts w:hint="eastAsia" w:ascii="宋体" w:hAnsi="宋体"/>
        </w:rPr>
        <w:t>评审</w:t>
      </w:r>
      <w:r>
        <w:rPr>
          <w:rFonts w:ascii="宋体" w:hAnsi="宋体"/>
        </w:rPr>
        <w:t>采用</w:t>
      </w:r>
      <w:r>
        <w:rPr>
          <w:rFonts w:hint="eastAsia"/>
        </w:rPr>
        <w:t>低价法确定中标人</w:t>
      </w:r>
      <w:r>
        <w:rPr>
          <w:rFonts w:hint="eastAsia" w:ascii="宋体" w:hAnsi="宋体"/>
        </w:rPr>
        <w:t>。</w:t>
      </w:r>
    </w:p>
    <w:p>
      <w:pPr>
        <w:pStyle w:val="6"/>
        <w:spacing w:line="460" w:lineRule="exact"/>
        <w:ind w:firstLine="472" w:firstLineChars="196"/>
        <w:rPr>
          <w:rFonts w:ascii="宋体" w:hAnsi="宋体"/>
          <w:b/>
          <w:bCs/>
          <w:szCs w:val="24"/>
        </w:rPr>
      </w:pPr>
      <w:r>
        <w:rPr>
          <w:rFonts w:ascii="宋体" w:hAnsi="宋体"/>
          <w:b/>
          <w:bCs/>
          <w:szCs w:val="24"/>
        </w:rPr>
        <w:t>二、</w:t>
      </w:r>
      <w:r>
        <w:rPr>
          <w:rFonts w:hint="eastAsia" w:ascii="宋体" w:hAnsi="宋体"/>
          <w:b/>
          <w:bCs/>
          <w:szCs w:val="24"/>
        </w:rPr>
        <w:t>评审</w:t>
      </w:r>
      <w:r>
        <w:rPr>
          <w:rFonts w:ascii="宋体" w:hAnsi="宋体"/>
          <w:b/>
          <w:bCs/>
          <w:szCs w:val="24"/>
        </w:rPr>
        <w:t>步骤</w:t>
      </w:r>
    </w:p>
    <w:p>
      <w:pPr>
        <w:spacing w:line="460" w:lineRule="exact"/>
        <w:ind w:firstLine="570"/>
        <w:rPr>
          <w:rFonts w:ascii="宋体" w:hAnsi="宋体"/>
        </w:rPr>
      </w:pPr>
      <w:r>
        <w:rPr>
          <w:rFonts w:hint="eastAsia" w:ascii="宋体" w:hAnsi="宋体"/>
        </w:rPr>
        <w:t>评审</w:t>
      </w:r>
      <w:r>
        <w:rPr>
          <w:rFonts w:ascii="宋体" w:hAnsi="宋体"/>
        </w:rPr>
        <w:t>委员会对</w:t>
      </w:r>
      <w:r>
        <w:rPr>
          <w:rFonts w:hint="eastAsia" w:ascii="宋体" w:hAnsi="宋体"/>
        </w:rPr>
        <w:t>投标</w:t>
      </w:r>
      <w:r>
        <w:rPr>
          <w:rFonts w:ascii="宋体" w:hAnsi="宋体"/>
        </w:rPr>
        <w:t>文件的评审分为符合性检查、</w:t>
      </w:r>
      <w:r>
        <w:rPr>
          <w:rFonts w:hint="eastAsia"/>
        </w:rPr>
        <w:t>报价</w:t>
      </w:r>
      <w:r>
        <w:rPr>
          <w:rFonts w:ascii="宋体" w:hAnsi="宋体"/>
        </w:rPr>
        <w:t>评议</w:t>
      </w:r>
      <w:r>
        <w:rPr>
          <w:rFonts w:hint="eastAsia" w:ascii="宋体" w:hAnsi="宋体"/>
        </w:rPr>
        <w:t>。</w:t>
      </w:r>
    </w:p>
    <w:p>
      <w:pPr>
        <w:spacing w:line="460" w:lineRule="exact"/>
        <w:ind w:firstLine="570"/>
        <w:rPr>
          <w:rFonts w:ascii="宋体" w:hAnsi="宋体"/>
        </w:rPr>
      </w:pPr>
      <w:r>
        <w:rPr>
          <w:rFonts w:ascii="宋体" w:hAnsi="宋体"/>
        </w:rPr>
        <w:t>（一）符合性检查</w:t>
      </w:r>
    </w:p>
    <w:p>
      <w:pPr>
        <w:spacing w:line="460" w:lineRule="exact"/>
        <w:ind w:firstLine="570"/>
        <w:rPr>
          <w:rFonts w:ascii="宋体" w:hAnsi="宋体"/>
        </w:rPr>
      </w:pPr>
      <w:r>
        <w:rPr>
          <w:rFonts w:ascii="宋体" w:hAnsi="宋体"/>
        </w:rPr>
        <w:t>1、符合性审查主要是对</w:t>
      </w:r>
      <w:r>
        <w:rPr>
          <w:rFonts w:hint="eastAsia" w:ascii="宋体" w:hAnsi="宋体"/>
        </w:rPr>
        <w:t>投标</w:t>
      </w:r>
      <w:r>
        <w:rPr>
          <w:rFonts w:ascii="宋体" w:hAnsi="宋体"/>
        </w:rPr>
        <w:t>文件的有效性、完整性和对</w:t>
      </w:r>
      <w:r>
        <w:rPr>
          <w:rFonts w:hint="eastAsia" w:ascii="宋体" w:hAnsi="宋体"/>
        </w:rPr>
        <w:t>招标</w:t>
      </w:r>
      <w:r>
        <w:rPr>
          <w:rFonts w:ascii="宋体" w:hAnsi="宋体"/>
        </w:rPr>
        <w:t>文件的响应程度进行审查，以确定是否对</w:t>
      </w:r>
      <w:r>
        <w:rPr>
          <w:rFonts w:hint="eastAsia" w:ascii="宋体" w:hAnsi="宋体"/>
        </w:rPr>
        <w:t>招标</w:t>
      </w:r>
      <w:r>
        <w:rPr>
          <w:rFonts w:ascii="宋体" w:hAnsi="宋体"/>
        </w:rPr>
        <w:t>文件的实质性要求做出了响应。</w:t>
      </w:r>
    </w:p>
    <w:p>
      <w:pPr>
        <w:spacing w:line="460" w:lineRule="exact"/>
        <w:ind w:firstLine="570"/>
        <w:rPr>
          <w:rFonts w:ascii="宋体" w:hAnsi="宋体"/>
        </w:rPr>
      </w:pPr>
      <w:r>
        <w:rPr>
          <w:rFonts w:ascii="宋体" w:hAnsi="宋体"/>
        </w:rPr>
        <w:t>2、</w:t>
      </w:r>
      <w:r>
        <w:rPr>
          <w:rFonts w:hint="eastAsia" w:ascii="宋体" w:hAnsi="宋体"/>
        </w:rPr>
        <w:t>评审</w:t>
      </w:r>
      <w:r>
        <w:rPr>
          <w:rFonts w:ascii="宋体" w:hAnsi="宋体"/>
        </w:rPr>
        <w:t>委员会对</w:t>
      </w:r>
      <w:r>
        <w:rPr>
          <w:rFonts w:hint="eastAsia" w:ascii="宋体" w:hAnsi="宋体"/>
        </w:rPr>
        <w:t>投标</w:t>
      </w:r>
      <w:r>
        <w:rPr>
          <w:rFonts w:ascii="宋体" w:hAnsi="宋体"/>
        </w:rPr>
        <w:t>文件进行符合性审查的主要内容为：</w:t>
      </w:r>
    </w:p>
    <w:p>
      <w:pPr>
        <w:spacing w:line="460" w:lineRule="exact"/>
        <w:ind w:firstLine="570"/>
        <w:rPr>
          <w:rFonts w:ascii="宋体" w:hAnsi="宋体"/>
        </w:rPr>
      </w:pPr>
      <w:r>
        <w:rPr>
          <w:rFonts w:hint="eastAsia" w:ascii="宋体" w:hAnsi="宋体"/>
        </w:rPr>
        <w:t>（1）投标人</w:t>
      </w:r>
      <w:r>
        <w:rPr>
          <w:rFonts w:ascii="宋体" w:hAnsi="宋体"/>
        </w:rPr>
        <w:t>的</w:t>
      </w:r>
      <w:r>
        <w:rPr>
          <w:rFonts w:hint="eastAsia" w:ascii="宋体" w:hAnsi="宋体"/>
        </w:rPr>
        <w:t>投标</w:t>
      </w:r>
      <w:r>
        <w:rPr>
          <w:rFonts w:ascii="宋体" w:hAnsi="宋体"/>
        </w:rPr>
        <w:t>书或资格证明文件</w:t>
      </w:r>
      <w:r>
        <w:rPr>
          <w:rFonts w:hint="eastAsia" w:ascii="宋体" w:hAnsi="宋体"/>
        </w:rPr>
        <w:t>是否</w:t>
      </w:r>
      <w:r>
        <w:rPr>
          <w:rFonts w:ascii="宋体" w:hAnsi="宋体"/>
        </w:rPr>
        <w:t>符合</w:t>
      </w:r>
      <w:r>
        <w:rPr>
          <w:rFonts w:hint="eastAsia" w:ascii="宋体" w:hAnsi="宋体"/>
        </w:rPr>
        <w:t>招标</w:t>
      </w:r>
      <w:r>
        <w:rPr>
          <w:rFonts w:ascii="宋体" w:hAnsi="宋体"/>
        </w:rPr>
        <w:t>文件要求；</w:t>
      </w:r>
    </w:p>
    <w:p>
      <w:pPr>
        <w:spacing w:line="460" w:lineRule="exact"/>
        <w:ind w:firstLine="570"/>
        <w:rPr>
          <w:rFonts w:ascii="宋体" w:hAnsi="宋体"/>
        </w:rPr>
      </w:pPr>
      <w:r>
        <w:rPr>
          <w:rFonts w:hint="eastAsia" w:ascii="宋体" w:hAnsi="宋体"/>
        </w:rPr>
        <w:t>（2）投标内容是否与招标项目相符合；</w:t>
      </w:r>
    </w:p>
    <w:p>
      <w:pPr>
        <w:spacing w:line="460" w:lineRule="exact"/>
        <w:ind w:firstLine="570"/>
        <w:rPr>
          <w:rFonts w:ascii="宋体" w:hAnsi="宋体"/>
        </w:rPr>
      </w:pPr>
      <w:r>
        <w:rPr>
          <w:rFonts w:hint="eastAsia" w:ascii="宋体" w:hAnsi="宋体"/>
        </w:rPr>
        <w:t>（3）投标人是否按照招标文件的规定提交投标保证金；</w:t>
      </w:r>
    </w:p>
    <w:p>
      <w:pPr>
        <w:spacing w:line="460" w:lineRule="exact"/>
        <w:ind w:firstLine="570"/>
        <w:rPr>
          <w:rFonts w:ascii="宋体" w:hAnsi="宋体"/>
        </w:rPr>
      </w:pPr>
      <w:r>
        <w:rPr>
          <w:rFonts w:hint="eastAsia" w:ascii="宋体" w:hAnsi="宋体"/>
        </w:rPr>
        <w:t>（4）投标有效期是否符合招标要求；</w:t>
      </w:r>
    </w:p>
    <w:p>
      <w:pPr>
        <w:spacing w:line="460" w:lineRule="exact"/>
        <w:ind w:firstLine="570"/>
        <w:rPr>
          <w:rFonts w:ascii="宋体" w:hAnsi="宋体"/>
        </w:rPr>
      </w:pPr>
      <w:r>
        <w:rPr>
          <w:rFonts w:hint="eastAsia" w:ascii="宋体" w:hAnsi="宋体"/>
        </w:rPr>
        <w:t>（5）投标人的委托人是否出席开标会；</w:t>
      </w:r>
    </w:p>
    <w:p>
      <w:pPr>
        <w:spacing w:line="460" w:lineRule="exact"/>
        <w:ind w:firstLine="570"/>
        <w:rPr>
          <w:rFonts w:ascii="宋体" w:hAnsi="宋体"/>
        </w:rPr>
      </w:pPr>
      <w:r>
        <w:rPr>
          <w:rFonts w:hint="eastAsia" w:ascii="宋体" w:hAnsi="宋体"/>
        </w:rPr>
        <w:t>（6）投标文件之间是否存在异常雷同；</w:t>
      </w:r>
    </w:p>
    <w:p>
      <w:pPr>
        <w:spacing w:line="460" w:lineRule="exact"/>
        <w:ind w:firstLine="570"/>
        <w:rPr>
          <w:rFonts w:ascii="宋体" w:hAnsi="宋体"/>
        </w:rPr>
      </w:pPr>
      <w:r>
        <w:rPr>
          <w:rFonts w:hint="eastAsia" w:ascii="宋体" w:hAnsi="宋体"/>
        </w:rPr>
        <w:t>（7）投标文件中是否有违反有关国家法律、法规的内容。</w:t>
      </w:r>
    </w:p>
    <w:p>
      <w:pPr>
        <w:spacing w:line="460" w:lineRule="exact"/>
        <w:ind w:firstLine="570"/>
        <w:rPr>
          <w:rFonts w:ascii="宋体" w:hAnsi="宋体"/>
        </w:rPr>
      </w:pPr>
      <w:r>
        <w:rPr>
          <w:rFonts w:ascii="宋体" w:hAnsi="宋体"/>
        </w:rPr>
        <w:t>（二）商务评议</w:t>
      </w:r>
    </w:p>
    <w:p>
      <w:pPr>
        <w:spacing w:line="460" w:lineRule="exact"/>
        <w:ind w:firstLine="600" w:firstLineChars="250"/>
        <w:rPr>
          <w:rFonts w:ascii="宋体" w:hAnsi="宋体"/>
        </w:rPr>
      </w:pPr>
      <w:r>
        <w:rPr>
          <w:rFonts w:hint="eastAsia" w:ascii="宋体" w:hAnsi="宋体"/>
        </w:rPr>
        <w:t>评审委员会只对资格性检查和符合性检查合格的投标文件进行</w:t>
      </w:r>
      <w:r>
        <w:rPr>
          <w:rFonts w:hint="eastAsia"/>
        </w:rPr>
        <w:t>评比</w:t>
      </w:r>
      <w:r>
        <w:rPr>
          <w:rFonts w:hint="eastAsia" w:ascii="宋体" w:hAnsi="宋体"/>
        </w:rPr>
        <w:t>。</w:t>
      </w:r>
    </w:p>
    <w:p>
      <w:pPr>
        <w:spacing w:line="460" w:lineRule="exact"/>
        <w:ind w:firstLine="482" w:firstLineChars="200"/>
        <w:rPr>
          <w:rFonts w:ascii="宋体" w:hAnsi="宋体"/>
          <w:b/>
        </w:rPr>
      </w:pPr>
      <w:r>
        <w:rPr>
          <w:rFonts w:hint="eastAsia" w:ascii="宋体" w:hAnsi="宋体"/>
          <w:b/>
        </w:rPr>
        <w:t>三、评审标准</w:t>
      </w:r>
    </w:p>
    <w:p>
      <w:pPr>
        <w:spacing w:line="460" w:lineRule="exact"/>
        <w:ind w:firstLine="480" w:firstLineChars="200"/>
        <w:rPr>
          <w:rFonts w:ascii="宋体" w:hAnsi="宋体"/>
        </w:rPr>
      </w:pPr>
      <w:r>
        <w:rPr>
          <w:rFonts w:hint="eastAsia" w:ascii="宋体" w:hAnsi="宋体"/>
        </w:rPr>
        <w:t>评审的依据和对象：评审的依据是本招标文件及其补充文件，评审的对象是投标文件，而不依据外部证据。</w:t>
      </w:r>
    </w:p>
    <w:p>
      <w:pPr>
        <w:spacing w:line="460" w:lineRule="exact"/>
        <w:ind w:firstLine="480" w:firstLineChars="200"/>
        <w:rPr>
          <w:rFonts w:ascii="宋体" w:hAnsi="宋体" w:cs="仿宋"/>
        </w:rPr>
      </w:pPr>
      <w:r>
        <w:rPr>
          <w:rFonts w:hint="eastAsia" w:ascii="宋体" w:hAnsi="宋体" w:cs="仿宋"/>
        </w:rPr>
        <w:t>1、评委按照招标文件要求和本评分办法的有关规定，给投标人分别打分。</w:t>
      </w:r>
    </w:p>
    <w:p>
      <w:pPr>
        <w:spacing w:line="460" w:lineRule="exact"/>
        <w:ind w:firstLine="480" w:firstLineChars="200"/>
        <w:rPr>
          <w:rFonts w:ascii="宋体" w:hAnsi="宋体" w:cs="仿宋"/>
        </w:rPr>
      </w:pPr>
      <w:r>
        <w:rPr>
          <w:rFonts w:hint="eastAsia" w:ascii="宋体" w:hAnsi="宋体" w:cs="仿宋"/>
        </w:rPr>
        <w:t>2、投标人的最终得分为各评委所评定分数的算术平均值。</w:t>
      </w:r>
    </w:p>
    <w:p>
      <w:pPr>
        <w:spacing w:line="460" w:lineRule="exact"/>
        <w:ind w:firstLine="480" w:firstLineChars="200"/>
        <w:rPr>
          <w:rFonts w:ascii="宋体" w:hAnsi="宋体" w:cs="仿宋"/>
        </w:rPr>
      </w:pPr>
      <w:r>
        <w:rPr>
          <w:rFonts w:hint="eastAsia" w:ascii="宋体" w:hAnsi="宋体" w:cs="仿宋"/>
        </w:rPr>
        <w:t>3、各项统计、评分结果均按四舍五入方法精确到小数点后二位。</w:t>
      </w:r>
    </w:p>
    <w:p>
      <w:pPr>
        <w:spacing w:line="460" w:lineRule="exact"/>
        <w:ind w:firstLine="480" w:firstLineChars="200"/>
        <w:rPr>
          <w:rFonts w:ascii="宋体" w:hAnsi="宋体"/>
        </w:rPr>
      </w:pPr>
      <w:r>
        <w:rPr>
          <w:rFonts w:hint="eastAsia" w:ascii="宋体" w:hAnsi="宋体"/>
        </w:rPr>
        <w:t>4、评审委员会根据投标人的最终得分，按从高到低次序确定投标人最终的排列名次。</w:t>
      </w:r>
    </w:p>
    <w:p>
      <w:pPr>
        <w:spacing w:line="460" w:lineRule="exact"/>
        <w:ind w:firstLine="482" w:firstLineChars="200"/>
        <w:rPr>
          <w:rFonts w:ascii="宋体" w:hAnsi="宋体"/>
          <w:b/>
        </w:rPr>
      </w:pPr>
      <w:r>
        <w:rPr>
          <w:rFonts w:hint="eastAsia" w:ascii="宋体" w:hAnsi="宋体"/>
          <w:b/>
        </w:rPr>
        <w:t>资格审查标准如下，投标人并按资格审查标准要求提供资料：</w:t>
      </w:r>
    </w:p>
    <w:tbl>
      <w:tblPr>
        <w:tblStyle w:val="32"/>
        <w:tblW w:w="9600" w:type="dxa"/>
        <w:tblInd w:w="-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6503"/>
        <w:gridCol w:w="2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894" w:type="dxa"/>
            <w:vAlign w:val="center"/>
          </w:tcPr>
          <w:p>
            <w:pPr>
              <w:spacing w:line="360" w:lineRule="auto"/>
              <w:jc w:val="center"/>
              <w:rPr>
                <w:rFonts w:ascii="宋体" w:hAnsi="宋体"/>
                <w:b/>
                <w:szCs w:val="21"/>
              </w:rPr>
            </w:pPr>
            <w:r>
              <w:rPr>
                <w:rFonts w:hint="eastAsia"/>
                <w:b/>
                <w:szCs w:val="21"/>
              </w:rPr>
              <w:t>序</w:t>
            </w:r>
            <w:r>
              <w:rPr>
                <w:rFonts w:hint="eastAsia" w:ascii="宋体" w:hAnsi="宋体"/>
                <w:b/>
                <w:szCs w:val="21"/>
              </w:rPr>
              <w:t>号</w:t>
            </w:r>
          </w:p>
        </w:tc>
        <w:tc>
          <w:tcPr>
            <w:tcW w:w="6503" w:type="dxa"/>
            <w:vAlign w:val="center"/>
          </w:tcPr>
          <w:p>
            <w:pPr>
              <w:spacing w:line="360" w:lineRule="auto"/>
              <w:jc w:val="center"/>
              <w:rPr>
                <w:rFonts w:ascii="宋体" w:hAnsi="宋体"/>
                <w:b/>
                <w:szCs w:val="21"/>
              </w:rPr>
            </w:pPr>
            <w:r>
              <w:rPr>
                <w:rFonts w:hint="eastAsia" w:ascii="宋体" w:hAnsi="宋体"/>
                <w:b/>
                <w:szCs w:val="21"/>
              </w:rPr>
              <w:t>合   格   条  件</w:t>
            </w:r>
          </w:p>
        </w:tc>
        <w:tc>
          <w:tcPr>
            <w:tcW w:w="2203" w:type="dxa"/>
            <w:vAlign w:val="center"/>
          </w:tcPr>
          <w:p>
            <w:pPr>
              <w:spacing w:line="360" w:lineRule="auto"/>
              <w:rPr>
                <w:rFonts w:ascii="宋体" w:hAnsi="宋体"/>
                <w:b/>
                <w:szCs w:val="21"/>
              </w:rPr>
            </w:pPr>
            <w:r>
              <w:rPr>
                <w:rFonts w:hint="eastAsia" w:ascii="宋体" w:hAnsi="宋体"/>
                <w:b/>
                <w:szCs w:val="21"/>
              </w:rPr>
              <w:t>投标人具备的条件或说明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894" w:type="dxa"/>
            <w:vAlign w:val="center"/>
          </w:tcPr>
          <w:p>
            <w:pPr>
              <w:spacing w:line="360" w:lineRule="auto"/>
              <w:jc w:val="center"/>
              <w:rPr>
                <w:rFonts w:ascii="宋体" w:hAnsi="宋体"/>
                <w:szCs w:val="21"/>
              </w:rPr>
            </w:pPr>
            <w:r>
              <w:rPr>
                <w:rFonts w:hint="eastAsia" w:ascii="宋体" w:hAnsi="宋体"/>
                <w:szCs w:val="21"/>
              </w:rPr>
              <w:t>1</w:t>
            </w:r>
          </w:p>
        </w:tc>
        <w:tc>
          <w:tcPr>
            <w:tcW w:w="6503" w:type="dxa"/>
            <w:vAlign w:val="center"/>
          </w:tcPr>
          <w:p>
            <w:pPr>
              <w:rPr>
                <w:rFonts w:ascii="宋体" w:hAnsi="宋体"/>
                <w:szCs w:val="21"/>
              </w:rPr>
            </w:pPr>
            <w:r>
              <w:rPr>
                <w:rFonts w:hint="eastAsia" w:ascii="宋体" w:hAnsi="宋体"/>
                <w:szCs w:val="21"/>
              </w:rPr>
              <w:t>投标人具备有效的营业执照（税务登记证、组织机构代码证）或三证合一；</w:t>
            </w:r>
          </w:p>
        </w:tc>
        <w:tc>
          <w:tcPr>
            <w:tcW w:w="2203" w:type="dxa"/>
            <w:vAlign w:val="center"/>
          </w:tcPr>
          <w:p>
            <w:pPr>
              <w:rPr>
                <w:rFonts w:ascii="宋体" w:hAnsi="宋体"/>
                <w:szCs w:val="21"/>
              </w:rPr>
            </w:pPr>
            <w:r>
              <w:rPr>
                <w:rFonts w:hint="eastAsia" w:ascii="宋体" w:hAnsi="宋体"/>
                <w:szCs w:val="21"/>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894" w:type="dxa"/>
            <w:vAlign w:val="center"/>
          </w:tcPr>
          <w:p>
            <w:pPr>
              <w:spacing w:line="360" w:lineRule="auto"/>
              <w:jc w:val="center"/>
              <w:rPr>
                <w:rFonts w:ascii="宋体" w:hAnsi="宋体"/>
                <w:szCs w:val="21"/>
              </w:rPr>
            </w:pPr>
            <w:r>
              <w:rPr>
                <w:rFonts w:hint="eastAsia"/>
                <w:szCs w:val="21"/>
              </w:rPr>
              <w:t>2</w:t>
            </w:r>
          </w:p>
        </w:tc>
        <w:tc>
          <w:tcPr>
            <w:tcW w:w="6503" w:type="dxa"/>
            <w:vAlign w:val="center"/>
          </w:tcPr>
          <w:p>
            <w:pPr>
              <w:rPr>
                <w:rFonts w:ascii="宋体" w:hAnsi="宋体"/>
                <w:szCs w:val="21"/>
              </w:rPr>
            </w:pPr>
            <w:r>
              <w:rPr>
                <w:rFonts w:hint="eastAsia" w:ascii="宋体" w:hAnsi="宋体"/>
                <w:szCs w:val="21"/>
              </w:rPr>
              <w:t>进两年是否有100万销售合同业绩</w:t>
            </w:r>
          </w:p>
        </w:tc>
        <w:tc>
          <w:tcPr>
            <w:tcW w:w="2203" w:type="dxa"/>
            <w:vAlign w:val="center"/>
          </w:tcPr>
          <w:p>
            <w:pPr>
              <w:rPr>
                <w:rFonts w:ascii="宋体" w:hAnsi="宋体"/>
                <w:szCs w:val="21"/>
              </w:rPr>
            </w:pPr>
            <w:r>
              <w:rPr>
                <w:rFonts w:hint="eastAsia" w:ascii="宋体" w:hAnsi="宋体"/>
                <w:szCs w:val="21"/>
              </w:rPr>
              <w:t>复印件加盖公章</w:t>
            </w:r>
          </w:p>
        </w:tc>
      </w:tr>
    </w:tbl>
    <w:p>
      <w:pPr>
        <w:spacing w:line="360" w:lineRule="auto"/>
        <w:rPr>
          <w:rFonts w:ascii="宋体" w:hAnsi="宋体"/>
          <w:b/>
          <w:szCs w:val="21"/>
        </w:rPr>
      </w:pPr>
      <w:r>
        <w:rPr>
          <w:rFonts w:hint="eastAsia" w:ascii="宋体" w:hAnsi="宋体"/>
          <w:b/>
          <w:szCs w:val="21"/>
        </w:rPr>
        <w:t>注：通过以上资格审查的投标人方可进行</w:t>
      </w:r>
      <w:r>
        <w:rPr>
          <w:rFonts w:hint="eastAsia"/>
          <w:b/>
          <w:szCs w:val="21"/>
        </w:rPr>
        <w:t>评分</w:t>
      </w:r>
      <w:r>
        <w:rPr>
          <w:rFonts w:hint="eastAsia" w:ascii="宋体" w:hAnsi="宋体"/>
          <w:b/>
          <w:szCs w:val="21"/>
        </w:rPr>
        <w:t>。</w:t>
      </w:r>
    </w:p>
    <w:p>
      <w:pPr>
        <w:spacing w:before="60" w:after="60" w:line="360" w:lineRule="auto"/>
        <w:ind w:left="142"/>
        <w:rPr>
          <w:rFonts w:ascii="宋体" w:hAnsi="宋体"/>
          <w:b/>
          <w:bCs/>
        </w:rPr>
      </w:pPr>
      <w:r>
        <w:rPr>
          <w:rFonts w:hint="eastAsia" w:ascii="宋体" w:hAnsi="宋体"/>
          <w:b/>
          <w:bCs/>
        </w:rPr>
        <w:t>四、评分办法</w:t>
      </w:r>
    </w:p>
    <w:p>
      <w:pPr>
        <w:pStyle w:val="70"/>
        <w:numPr>
          <w:ilvl w:val="0"/>
          <w:numId w:val="3"/>
        </w:numPr>
        <w:spacing w:line="360" w:lineRule="auto"/>
        <w:ind w:firstLineChars="0"/>
        <w:rPr>
          <w:rFonts w:ascii="宋体" w:hAnsi="宋体" w:cs="仿宋"/>
          <w:b/>
        </w:rPr>
      </w:pPr>
      <w:r>
        <w:rPr>
          <w:rFonts w:hint="eastAsia" w:ascii="宋体" w:hAnsi="宋体" w:cs="仿宋"/>
          <w:b/>
        </w:rPr>
        <w:t>说明</w:t>
      </w:r>
    </w:p>
    <w:p>
      <w:pPr>
        <w:spacing w:line="360" w:lineRule="auto"/>
        <w:ind w:firstLine="480" w:firstLineChars="200"/>
        <w:rPr>
          <w:rFonts w:ascii="宋体" w:hAnsi="宋体" w:cs="宋体"/>
          <w:color w:val="000000"/>
        </w:rPr>
      </w:pPr>
      <w:r>
        <w:rPr>
          <w:rFonts w:hint="eastAsia" w:ascii="宋体" w:hAnsi="宋体" w:cs="宋体"/>
          <w:color w:val="000000"/>
        </w:rPr>
        <w:t>本工程</w:t>
      </w:r>
      <w:r>
        <w:rPr>
          <w:rFonts w:hint="eastAsia" w:cs="宋体"/>
          <w:color w:val="000000"/>
        </w:rPr>
        <w:t>对通过审查的投标人的报价进行评分</w:t>
      </w:r>
      <w:r>
        <w:rPr>
          <w:rFonts w:hint="eastAsia" w:ascii="宋体" w:hAnsi="宋体"/>
          <w:color w:val="000000"/>
        </w:rPr>
        <w:t>。</w:t>
      </w:r>
    </w:p>
    <w:tbl>
      <w:tblPr>
        <w:tblStyle w:val="32"/>
        <w:tblpPr w:leftFromText="180" w:rightFromText="180" w:vertAnchor="text" w:horzAnchor="page" w:tblpX="1494" w:tblpY="496"/>
        <w:tblW w:w="94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3"/>
        <w:gridCol w:w="8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453" w:type="dxa"/>
            <w:vAlign w:val="center"/>
          </w:tcPr>
          <w:p>
            <w:pPr>
              <w:adjustRightInd w:val="0"/>
              <w:snapToGrid w:val="0"/>
              <w:spacing w:line="360" w:lineRule="auto"/>
              <w:jc w:val="both"/>
              <w:rPr>
                <w:rFonts w:ascii="宋体" w:hAnsi="宋体"/>
                <w:b/>
                <w:color w:val="000000"/>
                <w:szCs w:val="21"/>
              </w:rPr>
            </w:pPr>
            <w:r>
              <w:rPr>
                <w:rFonts w:hint="eastAsia" w:ascii="宋体" w:hAnsi="宋体"/>
                <w:b/>
                <w:color w:val="000000"/>
                <w:szCs w:val="21"/>
              </w:rPr>
              <w:t>评分项目</w:t>
            </w:r>
          </w:p>
        </w:tc>
        <w:tc>
          <w:tcPr>
            <w:tcW w:w="8034" w:type="dxa"/>
            <w:vAlign w:val="center"/>
          </w:tcPr>
          <w:p>
            <w:pPr>
              <w:adjustRightInd w:val="0"/>
              <w:snapToGrid w:val="0"/>
              <w:spacing w:line="360" w:lineRule="auto"/>
              <w:jc w:val="center"/>
              <w:rPr>
                <w:rFonts w:ascii="宋体" w:hAnsi="宋体"/>
                <w:b/>
                <w:color w:val="000000"/>
                <w:szCs w:val="21"/>
              </w:rPr>
            </w:pPr>
            <w:r>
              <w:rPr>
                <w:rFonts w:hint="eastAsia" w:ascii="宋体" w:hAnsi="宋体"/>
                <w:b/>
                <w:color w:val="00000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0" w:hRule="atLeast"/>
        </w:trPr>
        <w:tc>
          <w:tcPr>
            <w:tcW w:w="1453" w:type="dxa"/>
            <w:vAlign w:val="center"/>
          </w:tcPr>
          <w:p>
            <w:pPr>
              <w:adjustRightInd w:val="0"/>
              <w:snapToGrid w:val="0"/>
              <w:spacing w:line="360" w:lineRule="auto"/>
              <w:jc w:val="both"/>
              <w:rPr>
                <w:rFonts w:ascii="宋体" w:hAnsi="宋体"/>
                <w:b/>
                <w:color w:val="000000"/>
                <w:szCs w:val="21"/>
              </w:rPr>
            </w:pPr>
            <w:r>
              <w:rPr>
                <w:rFonts w:hint="eastAsia" w:ascii="宋体" w:hAnsi="宋体"/>
                <w:b/>
                <w:color w:val="000000"/>
                <w:szCs w:val="21"/>
              </w:rPr>
              <w:t>报价得分（</w:t>
            </w:r>
            <w:r>
              <w:rPr>
                <w:rFonts w:hint="eastAsia"/>
                <w:b/>
                <w:color w:val="000000"/>
                <w:szCs w:val="21"/>
              </w:rPr>
              <w:t>100分）</w:t>
            </w:r>
          </w:p>
        </w:tc>
        <w:tc>
          <w:tcPr>
            <w:tcW w:w="8034" w:type="dxa"/>
            <w:vAlign w:val="center"/>
          </w:tcPr>
          <w:p>
            <w:pPr>
              <w:pStyle w:val="18"/>
              <w:rPr>
                <w:rFonts w:ascii="宋体" w:hAnsi="宋体" w:cs="仿宋"/>
                <w:sz w:val="24"/>
                <w:szCs w:val="32"/>
              </w:rPr>
            </w:pPr>
            <w:r>
              <w:rPr>
                <w:rFonts w:hint="eastAsia" w:ascii="宋体" w:hAnsi="宋体" w:cs="仿宋"/>
                <w:sz w:val="24"/>
                <w:szCs w:val="32"/>
              </w:rPr>
              <w:t>投标报价：（100分）</w:t>
            </w:r>
          </w:p>
          <w:p>
            <w:pPr>
              <w:pStyle w:val="18"/>
              <w:rPr>
                <w:rFonts w:ascii="宋体" w:hAnsi="宋体" w:cs="仿宋"/>
                <w:sz w:val="24"/>
                <w:szCs w:val="32"/>
              </w:rPr>
            </w:pPr>
            <w:r>
              <w:rPr>
                <w:rFonts w:hint="eastAsia" w:ascii="宋体" w:hAnsi="宋体" w:cs="仿宋"/>
                <w:sz w:val="24"/>
                <w:szCs w:val="32"/>
              </w:rPr>
              <w:t>1、基准价=所有有效投标报价的算术平均值</w:t>
            </w:r>
          </w:p>
          <w:p>
            <w:pPr>
              <w:pStyle w:val="18"/>
              <w:rPr>
                <w:rFonts w:ascii="宋体" w:hAnsi="宋体" w:cs="仿宋"/>
                <w:sz w:val="24"/>
                <w:szCs w:val="32"/>
              </w:rPr>
            </w:pPr>
            <w:r>
              <w:rPr>
                <w:rFonts w:hint="eastAsia" w:ascii="宋体" w:hAnsi="宋体" w:cs="仿宋"/>
                <w:sz w:val="24"/>
                <w:szCs w:val="32"/>
              </w:rPr>
              <w:t>投标报价等于基准价的得60分。</w:t>
            </w:r>
          </w:p>
          <w:p>
            <w:pPr>
              <w:pStyle w:val="18"/>
              <w:rPr>
                <w:rFonts w:ascii="宋体" w:hAnsi="宋体" w:cs="仿宋"/>
                <w:sz w:val="24"/>
                <w:szCs w:val="32"/>
              </w:rPr>
            </w:pPr>
            <w:r>
              <w:rPr>
                <w:rFonts w:hint="eastAsia" w:ascii="宋体" w:hAnsi="宋体" w:cs="仿宋"/>
                <w:sz w:val="24"/>
                <w:szCs w:val="32"/>
              </w:rPr>
              <w:t>2、投标报价低于基准价，每低于基准价1%加4分，最多加40分，</w:t>
            </w:r>
          </w:p>
          <w:p>
            <w:pPr>
              <w:pStyle w:val="18"/>
              <w:rPr>
                <w:rFonts w:ascii="宋体" w:hAnsi="宋体" w:cs="仿宋"/>
                <w:sz w:val="24"/>
                <w:szCs w:val="32"/>
              </w:rPr>
            </w:pPr>
            <w:r>
              <w:rPr>
                <w:rFonts w:hint="eastAsia" w:ascii="宋体" w:hAnsi="宋体" w:cs="仿宋"/>
                <w:sz w:val="24"/>
                <w:szCs w:val="32"/>
              </w:rPr>
              <w:t>报价得分=60+（基准价-投标报价）/基准价*100*4；</w:t>
            </w:r>
          </w:p>
          <w:p>
            <w:pPr>
              <w:pStyle w:val="18"/>
              <w:rPr>
                <w:rFonts w:ascii="宋体" w:hAnsi="宋体" w:cs="仿宋"/>
                <w:sz w:val="24"/>
                <w:szCs w:val="32"/>
              </w:rPr>
            </w:pPr>
            <w:r>
              <w:rPr>
                <w:rFonts w:hint="eastAsia" w:ascii="宋体" w:hAnsi="宋体" w:cs="仿宋"/>
                <w:sz w:val="24"/>
                <w:szCs w:val="32"/>
              </w:rPr>
              <w:t>3、投标报价高于基准价的，每高于基准价1%扣4分，最多扣40分，</w:t>
            </w:r>
          </w:p>
          <w:p>
            <w:pPr>
              <w:pStyle w:val="18"/>
            </w:pPr>
            <w:r>
              <w:rPr>
                <w:rFonts w:hint="eastAsia" w:ascii="宋体" w:hAnsi="宋体" w:cs="仿宋"/>
                <w:sz w:val="24"/>
                <w:szCs w:val="32"/>
              </w:rPr>
              <w:t>报价得分=60-（投标报价-基准价）/基准价*100*4。</w:t>
            </w:r>
          </w:p>
        </w:tc>
      </w:tr>
    </w:tbl>
    <w:p>
      <w:pPr>
        <w:pStyle w:val="86"/>
        <w:numPr>
          <w:ilvl w:val="0"/>
          <w:numId w:val="3"/>
        </w:numPr>
        <w:ind w:firstLineChars="0"/>
        <w:rPr>
          <w:rFonts w:cs="仿宋"/>
          <w:b/>
          <w:kern w:val="2"/>
        </w:rPr>
      </w:pPr>
      <w:r>
        <w:rPr>
          <w:rFonts w:hint="eastAsia" w:cs="仿宋"/>
          <w:b/>
          <w:kern w:val="2"/>
        </w:rPr>
        <w:t>评分标准</w:t>
      </w:r>
    </w:p>
    <w:p>
      <w:pPr>
        <w:pStyle w:val="28"/>
        <w:autoSpaceDE w:val="0"/>
        <w:autoSpaceDN w:val="0"/>
        <w:adjustRightInd w:val="0"/>
        <w:spacing w:line="360" w:lineRule="auto"/>
        <w:jc w:val="both"/>
        <w:rPr>
          <w:rFonts w:ascii="宋体" w:hAnsi="宋体" w:cs="宋体"/>
        </w:rPr>
      </w:pPr>
      <w:r>
        <w:rPr>
          <w:rFonts w:ascii="宋体" w:hAnsi="宋体" w:cs="宋体"/>
          <w:b/>
          <w:bCs/>
          <w:color w:val="000000"/>
          <w:sz w:val="21"/>
          <w:szCs w:val="21"/>
        </w:rPr>
        <w:t>注：</w:t>
      </w:r>
      <w:r>
        <w:rPr>
          <w:rFonts w:hint="eastAsia" w:ascii="宋体" w:hAnsi="宋体" w:cs="宋体"/>
          <w:b/>
          <w:bCs/>
          <w:color w:val="000000"/>
          <w:sz w:val="21"/>
          <w:szCs w:val="21"/>
        </w:rPr>
        <w:t>招标人有权对中标单位所提供的材料进行核实，如发现中标单位提供虚假材料，将取消其中标资格，并报相关</w:t>
      </w:r>
      <w:r>
        <w:rPr>
          <w:rFonts w:ascii="宋体" w:hAnsi="宋体" w:cs="宋体"/>
          <w:b/>
          <w:bCs/>
          <w:color w:val="000000"/>
          <w:sz w:val="21"/>
          <w:szCs w:val="21"/>
        </w:rPr>
        <w:t>监督管理部门进行处理，同时</w:t>
      </w:r>
      <w:r>
        <w:rPr>
          <w:rFonts w:hint="eastAsia" w:ascii="宋体" w:hAnsi="宋体" w:cs="宋体"/>
          <w:b/>
          <w:bCs/>
          <w:color w:val="000000"/>
          <w:sz w:val="21"/>
          <w:szCs w:val="21"/>
        </w:rPr>
        <w:t>永久禁止其单位参与城发集团的投标活动</w:t>
      </w:r>
      <w:r>
        <w:rPr>
          <w:rFonts w:ascii="宋体" w:hAnsi="宋体" w:cs="宋体"/>
          <w:b/>
          <w:bCs/>
          <w:color w:val="000000"/>
          <w:sz w:val="21"/>
          <w:szCs w:val="21"/>
        </w:rPr>
        <w:t>，并追究其法律责任</w:t>
      </w:r>
      <w:r>
        <w:rPr>
          <w:rFonts w:hint="eastAsia" w:ascii="宋体" w:hAnsi="宋体" w:cs="宋体"/>
          <w:b/>
          <w:bCs/>
          <w:color w:val="000000"/>
          <w:sz w:val="21"/>
          <w:szCs w:val="21"/>
        </w:rPr>
        <w:t>。</w:t>
      </w:r>
    </w:p>
    <w:p>
      <w:pPr>
        <w:spacing w:line="360" w:lineRule="auto"/>
        <w:jc w:val="center"/>
        <w:outlineLvl w:val="0"/>
        <w:rPr>
          <w:rStyle w:val="87"/>
          <w:sz w:val="36"/>
          <w:szCs w:val="36"/>
          <w:lang w:eastAsia="zh-CN"/>
        </w:rPr>
      </w:pPr>
    </w:p>
    <w:p>
      <w:pPr>
        <w:pStyle w:val="18"/>
        <w:rPr>
          <w:rStyle w:val="87"/>
          <w:sz w:val="36"/>
          <w:szCs w:val="36"/>
          <w:lang w:eastAsia="zh-CN"/>
        </w:rPr>
      </w:pPr>
    </w:p>
    <w:p>
      <w:pPr>
        <w:pStyle w:val="18"/>
        <w:rPr>
          <w:rStyle w:val="87"/>
          <w:sz w:val="36"/>
          <w:szCs w:val="36"/>
          <w:lang w:eastAsia="zh-CN"/>
        </w:rPr>
      </w:pPr>
    </w:p>
    <w:p>
      <w:pPr>
        <w:spacing w:line="300" w:lineRule="auto"/>
        <w:sectPr>
          <w:headerReference r:id="rId8" w:type="default"/>
          <w:endnotePr>
            <w:numFmt w:val="decimal"/>
          </w:endnotePr>
          <w:pgSz w:w="12240" w:h="15840"/>
          <w:pgMar w:top="1587" w:right="1417" w:bottom="1587" w:left="1417" w:header="850" w:footer="567" w:gutter="0"/>
          <w:cols w:space="0" w:num="1"/>
        </w:sectPr>
      </w:pPr>
      <w:bookmarkStart w:id="141" w:name="_bookmark83"/>
      <w:bookmarkEnd w:id="141"/>
      <w:bookmarkStart w:id="142" w:name="_Toc4710"/>
    </w:p>
    <w:bookmarkEnd w:id="142"/>
    <w:p>
      <w:pPr>
        <w:pStyle w:val="4"/>
        <w:ind w:left="0"/>
        <w:jc w:val="center"/>
      </w:pPr>
      <w:bookmarkStart w:id="143" w:name="_bookmark146"/>
      <w:bookmarkEnd w:id="143"/>
      <w:bookmarkStart w:id="144" w:name="_Toc2745"/>
      <w:bookmarkStart w:id="145" w:name="_Toc8177"/>
      <w:bookmarkStart w:id="146" w:name="_Toc9251"/>
      <w:bookmarkStart w:id="147" w:name="_Toc32599"/>
      <w:bookmarkStart w:id="148" w:name="_Toc70345035"/>
      <w:bookmarkStart w:id="149" w:name="_Toc9779"/>
      <w:bookmarkStart w:id="150" w:name="_Toc21875"/>
      <w:r>
        <w:t>第</w:t>
      </w:r>
      <w:r>
        <w:rPr>
          <w:rFonts w:hint="eastAsia"/>
        </w:rPr>
        <w:t>四</w:t>
      </w:r>
      <w:r>
        <w:t xml:space="preserve">章 </w:t>
      </w:r>
      <w:bookmarkStart w:id="151" w:name="_bookmark104"/>
      <w:bookmarkEnd w:id="151"/>
      <w:r>
        <w:rPr>
          <w:rFonts w:hint="eastAsia"/>
        </w:rPr>
        <w:t>合同</w:t>
      </w:r>
      <w:r>
        <w:t>条款及格式</w:t>
      </w:r>
      <w:bookmarkEnd w:id="144"/>
      <w:bookmarkEnd w:id="145"/>
      <w:bookmarkEnd w:id="146"/>
      <w:bookmarkEnd w:id="147"/>
      <w:bookmarkEnd w:id="148"/>
      <w:bookmarkEnd w:id="149"/>
      <w:bookmarkEnd w:id="150"/>
    </w:p>
    <w:p>
      <w:pPr>
        <w:spacing w:line="300" w:lineRule="auto"/>
        <w:ind w:firstLine="3213" w:firstLineChars="1000"/>
        <w:rPr>
          <w:rFonts w:cs="方正小标宋简体" w:asciiTheme="minorEastAsia" w:hAnsiTheme="minorEastAsia" w:eastAsiaTheme="minorEastAsia"/>
          <w:b/>
          <w:bCs/>
          <w:color w:val="000000"/>
          <w:sz w:val="32"/>
          <w:szCs w:val="32"/>
        </w:rPr>
      </w:pPr>
      <w:bookmarkStart w:id="152" w:name="_Toc23573"/>
      <w:bookmarkStart w:id="153" w:name="_Toc29039"/>
      <w:bookmarkStart w:id="154" w:name="_Toc1906"/>
      <w:bookmarkStart w:id="155" w:name="_Toc10143"/>
      <w:bookmarkStart w:id="156" w:name="_Toc26942"/>
      <w:r>
        <w:rPr>
          <w:rFonts w:hint="eastAsia" w:cs="方正小标宋简体" w:asciiTheme="minorEastAsia" w:hAnsiTheme="minorEastAsia" w:eastAsiaTheme="minorEastAsia"/>
          <w:b/>
          <w:color w:val="000000"/>
          <w:sz w:val="32"/>
          <w:szCs w:val="32"/>
        </w:rPr>
        <w:t>设  备　购　买　合　同</w:t>
      </w:r>
      <w:bookmarkEnd w:id="152"/>
      <w:bookmarkEnd w:id="153"/>
      <w:bookmarkEnd w:id="154"/>
      <w:bookmarkEnd w:id="155"/>
      <w:bookmarkEnd w:id="156"/>
    </w:p>
    <w:p>
      <w:pPr>
        <w:spacing w:line="300" w:lineRule="auto"/>
        <w:rPr>
          <w:rFonts w:cs="Arial" w:asciiTheme="minorEastAsia" w:hAnsiTheme="minorEastAsia" w:eastAsiaTheme="minorEastAsia"/>
          <w:color w:val="000000"/>
          <w:szCs w:val="24"/>
        </w:rPr>
      </w:pP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需方：</w:t>
      </w:r>
      <w:r>
        <w:rPr>
          <w:rFonts w:hint="eastAsia" w:cs="仿宋_GB2312" w:asciiTheme="minorEastAsia" w:hAnsiTheme="minorEastAsia" w:eastAsiaTheme="minorEastAsia"/>
          <w:color w:val="000000"/>
          <w:u w:val="single"/>
        </w:rPr>
        <w:t>黄石市城发建设有限公司</w:t>
      </w:r>
      <w:r>
        <w:rPr>
          <w:rFonts w:hint="eastAsia" w:cs="仿宋_GB2312" w:asciiTheme="minorEastAsia" w:hAnsiTheme="minorEastAsia" w:eastAsiaTheme="minorEastAsia"/>
          <w:color w:val="000000"/>
        </w:rPr>
        <w:t xml:space="preserve">            合同编号：</w:t>
      </w:r>
      <w:r>
        <w:rPr>
          <w:rFonts w:hint="eastAsia" w:cs="仿宋_GB2312" w:asciiTheme="minorEastAsia" w:hAnsiTheme="minorEastAsia" w:eastAsiaTheme="minorEastAsia"/>
          <w:color w:val="000000"/>
          <w:u w:val="single"/>
        </w:rPr>
        <w:t>*****</w:t>
      </w:r>
      <w:r>
        <w:rPr>
          <w:rFonts w:cs="仿宋_GB2312" w:asciiTheme="minorEastAsia" w:hAnsiTheme="minorEastAsia" w:eastAsiaTheme="minorEastAsia"/>
          <w:color w:val="000000"/>
          <w:u w:val="single"/>
        </w:rPr>
        <w:t xml:space="preserve">    </w:t>
      </w:r>
    </w:p>
    <w:p>
      <w:pPr>
        <w:spacing w:line="300" w:lineRule="auto"/>
        <w:rPr>
          <w:rFonts w:cs="仿宋_GB2312" w:asciiTheme="minorEastAsia" w:hAnsiTheme="minorEastAsia" w:eastAsiaTheme="minorEastAsia"/>
          <w:color w:val="000000"/>
          <w:u w:val="single"/>
        </w:rPr>
      </w:pPr>
      <w:r>
        <w:rPr>
          <w:rFonts w:hint="eastAsia" w:cs="仿宋_GB2312" w:asciiTheme="minorEastAsia" w:hAnsiTheme="minorEastAsia" w:eastAsiaTheme="minorEastAsia"/>
          <w:color w:val="000000"/>
        </w:rPr>
        <w:t>供方：****</w:t>
      </w:r>
      <w:r>
        <w:rPr>
          <w:rFonts w:cs="仿宋_GB2312" w:asciiTheme="minorEastAsia" w:hAnsiTheme="minorEastAsia" w:eastAsiaTheme="minorEastAsia"/>
          <w:color w:val="000000"/>
          <w:u w:val="single"/>
        </w:rPr>
        <w:t>有限公</w:t>
      </w:r>
      <w:r>
        <w:rPr>
          <w:rFonts w:hint="eastAsia" w:cs="仿宋_GB2312" w:asciiTheme="minorEastAsia" w:hAnsiTheme="minorEastAsia" w:eastAsiaTheme="minorEastAsia"/>
          <w:color w:val="000000"/>
          <w:u w:val="single"/>
        </w:rPr>
        <w:t xml:space="preserve">司  </w:t>
      </w:r>
      <w:r>
        <w:rPr>
          <w:rFonts w:hint="eastAsia" w:cs="仿宋_GB2312" w:asciiTheme="minorEastAsia" w:hAnsiTheme="minorEastAsia" w:eastAsiaTheme="minorEastAsia"/>
          <w:color w:val="000000"/>
        </w:rPr>
        <w:t xml:space="preserve">                    签订地点：</w:t>
      </w:r>
      <w:r>
        <w:rPr>
          <w:rFonts w:hint="eastAsia" w:cs="仿宋_GB2312" w:asciiTheme="minorEastAsia" w:hAnsiTheme="minorEastAsia" w:eastAsiaTheme="minorEastAsia"/>
          <w:color w:val="000000"/>
          <w:u w:val="single"/>
        </w:rPr>
        <w:t xml:space="preserve">湖北省黄石市       </w:t>
      </w:r>
    </w:p>
    <w:p>
      <w:pPr>
        <w:spacing w:line="300" w:lineRule="auto"/>
        <w:ind w:firstLine="720" w:firstLineChars="300"/>
      </w:pPr>
      <w:bookmarkStart w:id="157" w:name="_Toc31239"/>
      <w:bookmarkStart w:id="158" w:name="_Toc8487"/>
      <w:bookmarkStart w:id="159" w:name="_Toc7039"/>
      <w:bookmarkStart w:id="160" w:name="_Toc16126"/>
      <w:bookmarkStart w:id="161" w:name="_Toc31120"/>
      <w:r>
        <w:t>为明确供需双方责、权、利，本着公平公正原则，根据《中华人民共和国民法典》及相关法律法规，经双方充分协商就需方</w:t>
      </w:r>
      <w:r>
        <w:rPr>
          <w:rFonts w:hint="eastAsia"/>
        </w:rPr>
        <w:t>湖北工程职业学院供热工程（锅炉房）项目工程所需设备签订如下</w:t>
      </w:r>
      <w:r>
        <w:t>合同，以资共同遵守。</w:t>
      </w:r>
    </w:p>
    <w:p>
      <w:pPr>
        <w:numPr>
          <w:ilvl w:val="0"/>
          <w:numId w:val="4"/>
        </w:numPr>
        <w:outlineLvl w:val="2"/>
        <w:rPr>
          <w:b/>
          <w:bCs/>
        </w:rPr>
      </w:pPr>
      <w:r>
        <w:rPr>
          <w:rFonts w:hint="eastAsia"/>
          <w:b/>
          <w:bCs/>
        </w:rPr>
        <w:t xml:space="preserve">第一章  </w:t>
      </w:r>
      <w:bookmarkEnd w:id="157"/>
      <w:bookmarkEnd w:id="158"/>
      <w:bookmarkEnd w:id="159"/>
      <w:bookmarkEnd w:id="160"/>
      <w:bookmarkEnd w:id="161"/>
      <w:bookmarkStart w:id="162" w:name="_Toc43623141"/>
      <w:bookmarkStart w:id="163" w:name="_Toc32440"/>
      <w:r>
        <w:rPr>
          <w:rFonts w:hint="eastAsia"/>
          <w:b/>
          <w:bCs/>
          <w:szCs w:val="24"/>
        </w:rPr>
        <w:t>标的物名称、规格、型号、数量、品牌</w:t>
      </w:r>
      <w:bookmarkEnd w:id="162"/>
      <w:bookmarkEnd w:id="163"/>
    </w:p>
    <w:tbl>
      <w:tblPr>
        <w:tblStyle w:val="32"/>
        <w:tblW w:w="104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6"/>
        <w:gridCol w:w="1158"/>
        <w:gridCol w:w="1298"/>
        <w:gridCol w:w="398"/>
        <w:gridCol w:w="467"/>
        <w:gridCol w:w="522"/>
        <w:gridCol w:w="938"/>
        <w:gridCol w:w="848"/>
        <w:gridCol w:w="771"/>
        <w:gridCol w:w="1007"/>
        <w:gridCol w:w="848"/>
        <w:gridCol w:w="742"/>
        <w:gridCol w:w="8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0" w:hRule="atLeast"/>
          <w:jc w:val="center"/>
        </w:trPr>
        <w:tc>
          <w:tcPr>
            <w:tcW w:w="606" w:type="dxa"/>
            <w:vMerge w:val="restart"/>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序号</w:t>
            </w:r>
          </w:p>
        </w:tc>
        <w:tc>
          <w:tcPr>
            <w:tcW w:w="1158" w:type="dxa"/>
            <w:vMerge w:val="restart"/>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设备</w:t>
            </w:r>
          </w:p>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名称</w:t>
            </w:r>
          </w:p>
        </w:tc>
        <w:tc>
          <w:tcPr>
            <w:tcW w:w="1298" w:type="dxa"/>
            <w:vMerge w:val="restart"/>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规格</w:t>
            </w:r>
          </w:p>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型号</w:t>
            </w:r>
          </w:p>
        </w:tc>
        <w:tc>
          <w:tcPr>
            <w:tcW w:w="398" w:type="dxa"/>
            <w:vMerge w:val="restart"/>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单</w:t>
            </w:r>
          </w:p>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位</w:t>
            </w:r>
          </w:p>
        </w:tc>
        <w:tc>
          <w:tcPr>
            <w:tcW w:w="467" w:type="dxa"/>
            <w:vMerge w:val="restart"/>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计量</w:t>
            </w:r>
          </w:p>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数量</w:t>
            </w:r>
          </w:p>
        </w:tc>
        <w:tc>
          <w:tcPr>
            <w:tcW w:w="522" w:type="dxa"/>
            <w:vMerge w:val="restart"/>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增值</w:t>
            </w:r>
          </w:p>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税率</w:t>
            </w:r>
          </w:p>
        </w:tc>
        <w:tc>
          <w:tcPr>
            <w:tcW w:w="1786" w:type="dxa"/>
            <w:gridSpan w:val="2"/>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单价(元)</w:t>
            </w:r>
          </w:p>
        </w:tc>
        <w:tc>
          <w:tcPr>
            <w:tcW w:w="2626" w:type="dxa"/>
            <w:gridSpan w:val="3"/>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总价(元)</w:t>
            </w:r>
          </w:p>
        </w:tc>
        <w:tc>
          <w:tcPr>
            <w:tcW w:w="742" w:type="dxa"/>
            <w:vMerge w:val="restart"/>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增值税票类型</w:t>
            </w:r>
          </w:p>
          <w:p>
            <w:pPr>
              <w:spacing w:line="300" w:lineRule="auto"/>
              <w:rPr>
                <w:rFonts w:cs="仿宋_GB2312" w:asciiTheme="minorEastAsia" w:hAnsiTheme="minorEastAsia" w:eastAsiaTheme="minorEastAsia"/>
                <w:color w:val="000000"/>
                <w:sz w:val="18"/>
                <w:szCs w:val="18"/>
              </w:rPr>
            </w:pPr>
          </w:p>
        </w:tc>
        <w:tc>
          <w:tcPr>
            <w:tcW w:w="812" w:type="dxa"/>
            <w:vMerge w:val="restart"/>
            <w:vAlign w:val="center"/>
          </w:tcPr>
          <w:p>
            <w:pPr>
              <w:spacing w:line="300" w:lineRule="auto"/>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生产厂家及产地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3" w:hRule="atLeast"/>
          <w:jc w:val="center"/>
        </w:trPr>
        <w:tc>
          <w:tcPr>
            <w:tcW w:w="606" w:type="dxa"/>
            <w:vMerge w:val="continue"/>
            <w:vAlign w:val="center"/>
          </w:tcPr>
          <w:p>
            <w:pPr>
              <w:spacing w:line="300" w:lineRule="auto"/>
              <w:jc w:val="center"/>
              <w:rPr>
                <w:rFonts w:cs="仿宋_GB2312" w:asciiTheme="minorEastAsia" w:hAnsiTheme="minorEastAsia" w:eastAsiaTheme="minorEastAsia"/>
                <w:color w:val="000000"/>
                <w:sz w:val="18"/>
                <w:szCs w:val="18"/>
              </w:rPr>
            </w:pPr>
          </w:p>
        </w:tc>
        <w:tc>
          <w:tcPr>
            <w:tcW w:w="1158" w:type="dxa"/>
            <w:vMerge w:val="continue"/>
            <w:vAlign w:val="center"/>
          </w:tcPr>
          <w:p>
            <w:pPr>
              <w:spacing w:line="300" w:lineRule="auto"/>
              <w:jc w:val="center"/>
              <w:rPr>
                <w:rFonts w:cs="仿宋_GB2312" w:asciiTheme="minorEastAsia" w:hAnsiTheme="minorEastAsia" w:eastAsiaTheme="minorEastAsia"/>
                <w:color w:val="000000"/>
                <w:sz w:val="18"/>
                <w:szCs w:val="18"/>
              </w:rPr>
            </w:pPr>
          </w:p>
        </w:tc>
        <w:tc>
          <w:tcPr>
            <w:tcW w:w="1298" w:type="dxa"/>
            <w:vMerge w:val="continue"/>
            <w:vAlign w:val="center"/>
          </w:tcPr>
          <w:p>
            <w:pPr>
              <w:spacing w:line="300" w:lineRule="auto"/>
              <w:jc w:val="center"/>
              <w:rPr>
                <w:rFonts w:cs="仿宋_GB2312" w:asciiTheme="minorEastAsia" w:hAnsiTheme="minorEastAsia" w:eastAsiaTheme="minorEastAsia"/>
                <w:color w:val="000000"/>
                <w:sz w:val="18"/>
                <w:szCs w:val="18"/>
              </w:rPr>
            </w:pPr>
          </w:p>
        </w:tc>
        <w:tc>
          <w:tcPr>
            <w:tcW w:w="398" w:type="dxa"/>
            <w:vMerge w:val="continue"/>
            <w:vAlign w:val="center"/>
          </w:tcPr>
          <w:p>
            <w:pPr>
              <w:spacing w:line="300" w:lineRule="auto"/>
              <w:jc w:val="center"/>
              <w:rPr>
                <w:rFonts w:cs="仿宋_GB2312" w:asciiTheme="minorEastAsia" w:hAnsiTheme="minorEastAsia" w:eastAsiaTheme="minorEastAsia"/>
                <w:color w:val="000000"/>
                <w:sz w:val="18"/>
                <w:szCs w:val="18"/>
              </w:rPr>
            </w:pPr>
          </w:p>
        </w:tc>
        <w:tc>
          <w:tcPr>
            <w:tcW w:w="467" w:type="dxa"/>
            <w:vMerge w:val="continue"/>
            <w:vAlign w:val="center"/>
          </w:tcPr>
          <w:p>
            <w:pPr>
              <w:spacing w:line="300" w:lineRule="auto"/>
              <w:jc w:val="center"/>
              <w:rPr>
                <w:rFonts w:cs="仿宋_GB2312" w:asciiTheme="minorEastAsia" w:hAnsiTheme="minorEastAsia" w:eastAsiaTheme="minorEastAsia"/>
                <w:color w:val="000000"/>
                <w:sz w:val="18"/>
                <w:szCs w:val="18"/>
              </w:rPr>
            </w:pPr>
          </w:p>
        </w:tc>
        <w:tc>
          <w:tcPr>
            <w:tcW w:w="522" w:type="dxa"/>
            <w:vMerge w:val="continue"/>
            <w:vAlign w:val="center"/>
          </w:tcPr>
          <w:p>
            <w:pPr>
              <w:spacing w:line="300" w:lineRule="auto"/>
              <w:jc w:val="center"/>
              <w:rPr>
                <w:rFonts w:cs="仿宋_GB2312" w:asciiTheme="minorEastAsia" w:hAnsiTheme="minorEastAsia" w:eastAsiaTheme="minorEastAsia"/>
                <w:color w:val="000000"/>
                <w:sz w:val="18"/>
                <w:szCs w:val="18"/>
              </w:rPr>
            </w:pPr>
          </w:p>
        </w:tc>
        <w:tc>
          <w:tcPr>
            <w:tcW w:w="938" w:type="dxa"/>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不含</w:t>
            </w:r>
          </w:p>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税单价</w:t>
            </w:r>
          </w:p>
        </w:tc>
        <w:tc>
          <w:tcPr>
            <w:tcW w:w="848" w:type="dxa"/>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税款</w:t>
            </w:r>
          </w:p>
        </w:tc>
        <w:tc>
          <w:tcPr>
            <w:tcW w:w="771" w:type="dxa"/>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含税总价</w:t>
            </w:r>
          </w:p>
        </w:tc>
        <w:tc>
          <w:tcPr>
            <w:tcW w:w="1007" w:type="dxa"/>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其中</w:t>
            </w:r>
          </w:p>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不含税总价</w:t>
            </w:r>
          </w:p>
        </w:tc>
        <w:tc>
          <w:tcPr>
            <w:tcW w:w="848" w:type="dxa"/>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其中</w:t>
            </w:r>
          </w:p>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税总额</w:t>
            </w:r>
          </w:p>
        </w:tc>
        <w:tc>
          <w:tcPr>
            <w:tcW w:w="742" w:type="dxa"/>
            <w:vMerge w:val="continue"/>
            <w:vAlign w:val="center"/>
          </w:tcPr>
          <w:p>
            <w:pPr>
              <w:spacing w:line="300" w:lineRule="auto"/>
              <w:jc w:val="center"/>
              <w:rPr>
                <w:rFonts w:cs="仿宋_GB2312" w:asciiTheme="minorEastAsia" w:hAnsiTheme="minorEastAsia" w:eastAsiaTheme="minorEastAsia"/>
                <w:color w:val="000000"/>
                <w:sz w:val="18"/>
                <w:szCs w:val="18"/>
              </w:rPr>
            </w:pPr>
          </w:p>
        </w:tc>
        <w:tc>
          <w:tcPr>
            <w:tcW w:w="812" w:type="dxa"/>
            <w:vMerge w:val="continue"/>
            <w:vAlign w:val="center"/>
          </w:tcPr>
          <w:p>
            <w:pPr>
              <w:spacing w:line="300" w:lineRule="auto"/>
              <w:jc w:val="center"/>
              <w:rPr>
                <w:rFonts w:cs="仿宋_GB2312" w:asciiTheme="minorEastAsia" w:hAnsiTheme="minorEastAsia" w:eastAsiaTheme="minorEastAsia"/>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06" w:type="dxa"/>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1</w:t>
            </w:r>
          </w:p>
        </w:tc>
        <w:tc>
          <w:tcPr>
            <w:tcW w:w="1158" w:type="dxa"/>
            <w:vAlign w:val="center"/>
          </w:tcPr>
          <w:p>
            <w:pPr>
              <w:spacing w:line="300" w:lineRule="auto"/>
              <w:jc w:val="center"/>
              <w:rPr>
                <w:rFonts w:cs="仿宋_GB2312" w:asciiTheme="minorEastAsia" w:hAnsiTheme="minorEastAsia" w:eastAsiaTheme="minorEastAsia"/>
                <w:color w:val="000000"/>
                <w:sz w:val="18"/>
                <w:szCs w:val="18"/>
              </w:rPr>
            </w:pPr>
          </w:p>
        </w:tc>
        <w:tc>
          <w:tcPr>
            <w:tcW w:w="1298" w:type="dxa"/>
            <w:vAlign w:val="center"/>
          </w:tcPr>
          <w:p>
            <w:pPr>
              <w:spacing w:line="300" w:lineRule="auto"/>
              <w:jc w:val="center"/>
              <w:rPr>
                <w:rFonts w:cs="仿宋_GB2312" w:asciiTheme="minorEastAsia" w:hAnsiTheme="minorEastAsia" w:eastAsiaTheme="minorEastAsia"/>
                <w:color w:val="000000"/>
                <w:sz w:val="18"/>
                <w:szCs w:val="18"/>
              </w:rPr>
            </w:pPr>
          </w:p>
        </w:tc>
        <w:tc>
          <w:tcPr>
            <w:tcW w:w="398" w:type="dxa"/>
            <w:vAlign w:val="center"/>
          </w:tcPr>
          <w:p>
            <w:pPr>
              <w:spacing w:line="300" w:lineRule="auto"/>
              <w:jc w:val="center"/>
              <w:rPr>
                <w:rFonts w:cs="仿宋_GB2312" w:asciiTheme="minorEastAsia" w:hAnsiTheme="minorEastAsia" w:eastAsiaTheme="minorEastAsia"/>
                <w:color w:val="000000"/>
                <w:sz w:val="18"/>
                <w:szCs w:val="18"/>
              </w:rPr>
            </w:pPr>
          </w:p>
        </w:tc>
        <w:tc>
          <w:tcPr>
            <w:tcW w:w="467" w:type="dxa"/>
            <w:vAlign w:val="center"/>
          </w:tcPr>
          <w:p>
            <w:pPr>
              <w:spacing w:line="300" w:lineRule="auto"/>
              <w:jc w:val="center"/>
              <w:rPr>
                <w:rFonts w:cs="仿宋_GB2312" w:asciiTheme="minorEastAsia" w:hAnsiTheme="minorEastAsia" w:eastAsiaTheme="minorEastAsia"/>
                <w:color w:val="000000"/>
                <w:sz w:val="18"/>
                <w:szCs w:val="18"/>
              </w:rPr>
            </w:pPr>
          </w:p>
        </w:tc>
        <w:tc>
          <w:tcPr>
            <w:tcW w:w="522" w:type="dxa"/>
            <w:vAlign w:val="center"/>
          </w:tcPr>
          <w:p>
            <w:pPr>
              <w:spacing w:line="300" w:lineRule="auto"/>
              <w:jc w:val="center"/>
              <w:rPr>
                <w:rFonts w:cs="仿宋_GB2312" w:asciiTheme="minorEastAsia" w:hAnsiTheme="minorEastAsia" w:eastAsiaTheme="minorEastAsia"/>
                <w:color w:val="000000"/>
                <w:sz w:val="18"/>
                <w:szCs w:val="18"/>
              </w:rPr>
            </w:pPr>
          </w:p>
        </w:tc>
        <w:tc>
          <w:tcPr>
            <w:tcW w:w="938" w:type="dxa"/>
            <w:vAlign w:val="center"/>
          </w:tcPr>
          <w:p>
            <w:pPr>
              <w:spacing w:line="300" w:lineRule="auto"/>
              <w:jc w:val="both"/>
              <w:rPr>
                <w:rFonts w:cs="仿宋_GB2312" w:asciiTheme="minorEastAsia" w:hAnsiTheme="minorEastAsia" w:eastAsiaTheme="minorEastAsia"/>
                <w:color w:val="000000"/>
                <w:sz w:val="18"/>
                <w:szCs w:val="18"/>
              </w:rPr>
            </w:pPr>
          </w:p>
        </w:tc>
        <w:tc>
          <w:tcPr>
            <w:tcW w:w="848" w:type="dxa"/>
            <w:vAlign w:val="center"/>
          </w:tcPr>
          <w:p>
            <w:pPr>
              <w:spacing w:line="300" w:lineRule="auto"/>
              <w:jc w:val="both"/>
              <w:rPr>
                <w:rFonts w:cs="仿宋_GB2312" w:asciiTheme="minorEastAsia" w:hAnsiTheme="minorEastAsia" w:eastAsiaTheme="minorEastAsia"/>
                <w:color w:val="000000"/>
                <w:sz w:val="18"/>
                <w:szCs w:val="18"/>
              </w:rPr>
            </w:pPr>
          </w:p>
        </w:tc>
        <w:tc>
          <w:tcPr>
            <w:tcW w:w="771" w:type="dxa"/>
            <w:vAlign w:val="center"/>
          </w:tcPr>
          <w:p>
            <w:pPr>
              <w:spacing w:line="300" w:lineRule="auto"/>
              <w:jc w:val="both"/>
              <w:rPr>
                <w:rFonts w:cs="仿宋_GB2312" w:asciiTheme="minorEastAsia" w:hAnsiTheme="minorEastAsia" w:eastAsiaTheme="minorEastAsia"/>
                <w:color w:val="000000"/>
                <w:sz w:val="18"/>
                <w:szCs w:val="18"/>
              </w:rPr>
            </w:pPr>
          </w:p>
        </w:tc>
        <w:tc>
          <w:tcPr>
            <w:tcW w:w="1007" w:type="dxa"/>
            <w:vAlign w:val="center"/>
          </w:tcPr>
          <w:p>
            <w:pPr>
              <w:spacing w:line="300" w:lineRule="auto"/>
              <w:jc w:val="both"/>
              <w:rPr>
                <w:rFonts w:cs="仿宋_GB2312" w:asciiTheme="minorEastAsia" w:hAnsiTheme="minorEastAsia" w:eastAsiaTheme="minorEastAsia"/>
                <w:color w:val="000000"/>
                <w:sz w:val="18"/>
                <w:szCs w:val="18"/>
              </w:rPr>
            </w:pPr>
          </w:p>
        </w:tc>
        <w:tc>
          <w:tcPr>
            <w:tcW w:w="848" w:type="dxa"/>
            <w:vAlign w:val="center"/>
          </w:tcPr>
          <w:p>
            <w:pPr>
              <w:spacing w:line="300" w:lineRule="auto"/>
              <w:jc w:val="both"/>
              <w:rPr>
                <w:rFonts w:cs="仿宋_GB2312" w:asciiTheme="minorEastAsia" w:hAnsiTheme="minorEastAsia" w:eastAsiaTheme="minorEastAsia"/>
                <w:color w:val="000000"/>
                <w:sz w:val="18"/>
                <w:szCs w:val="18"/>
              </w:rPr>
            </w:pPr>
          </w:p>
        </w:tc>
        <w:tc>
          <w:tcPr>
            <w:tcW w:w="742" w:type="dxa"/>
            <w:vAlign w:val="center"/>
          </w:tcPr>
          <w:p>
            <w:pPr>
              <w:spacing w:line="300" w:lineRule="auto"/>
              <w:jc w:val="center"/>
              <w:rPr>
                <w:rFonts w:cs="仿宋_GB2312" w:asciiTheme="minorEastAsia" w:hAnsiTheme="minorEastAsia" w:eastAsiaTheme="minorEastAsia"/>
                <w:color w:val="000000"/>
                <w:sz w:val="18"/>
                <w:szCs w:val="18"/>
              </w:rPr>
            </w:pPr>
          </w:p>
        </w:tc>
        <w:tc>
          <w:tcPr>
            <w:tcW w:w="812" w:type="dxa"/>
            <w:vAlign w:val="center"/>
          </w:tcPr>
          <w:p>
            <w:pPr>
              <w:spacing w:line="300" w:lineRule="auto"/>
              <w:jc w:val="center"/>
              <w:rPr>
                <w:rFonts w:cs="仿宋_GB2312" w:asciiTheme="minorEastAsia" w:hAnsiTheme="minorEastAsia" w:eastAsiaTheme="minorEastAsia"/>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06" w:type="dxa"/>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2</w:t>
            </w:r>
          </w:p>
        </w:tc>
        <w:tc>
          <w:tcPr>
            <w:tcW w:w="1158" w:type="dxa"/>
            <w:vAlign w:val="center"/>
          </w:tcPr>
          <w:p>
            <w:pPr>
              <w:widowControl/>
              <w:spacing w:line="300" w:lineRule="auto"/>
              <w:jc w:val="center"/>
              <w:textAlignment w:val="center"/>
              <w:rPr>
                <w:rFonts w:cs="仿宋_GB2312" w:asciiTheme="minorEastAsia" w:hAnsiTheme="minorEastAsia" w:eastAsiaTheme="minorEastAsia"/>
                <w:color w:val="000000"/>
                <w:sz w:val="18"/>
                <w:szCs w:val="18"/>
              </w:rPr>
            </w:pPr>
          </w:p>
        </w:tc>
        <w:tc>
          <w:tcPr>
            <w:tcW w:w="1298" w:type="dxa"/>
            <w:vAlign w:val="center"/>
          </w:tcPr>
          <w:p>
            <w:pPr>
              <w:spacing w:line="300" w:lineRule="auto"/>
              <w:jc w:val="center"/>
              <w:rPr>
                <w:rFonts w:cs="仿宋_GB2312" w:asciiTheme="minorEastAsia" w:hAnsiTheme="minorEastAsia" w:eastAsiaTheme="minorEastAsia"/>
                <w:color w:val="000000"/>
                <w:sz w:val="18"/>
                <w:szCs w:val="18"/>
              </w:rPr>
            </w:pPr>
          </w:p>
        </w:tc>
        <w:tc>
          <w:tcPr>
            <w:tcW w:w="398" w:type="dxa"/>
            <w:vAlign w:val="center"/>
          </w:tcPr>
          <w:p>
            <w:pPr>
              <w:spacing w:line="300" w:lineRule="auto"/>
              <w:jc w:val="center"/>
              <w:rPr>
                <w:rFonts w:cs="仿宋_GB2312" w:asciiTheme="minorEastAsia" w:hAnsiTheme="minorEastAsia" w:eastAsiaTheme="minorEastAsia"/>
                <w:color w:val="000000"/>
                <w:sz w:val="18"/>
                <w:szCs w:val="18"/>
              </w:rPr>
            </w:pPr>
          </w:p>
        </w:tc>
        <w:tc>
          <w:tcPr>
            <w:tcW w:w="467" w:type="dxa"/>
            <w:vAlign w:val="center"/>
          </w:tcPr>
          <w:p>
            <w:pPr>
              <w:spacing w:line="300" w:lineRule="auto"/>
              <w:jc w:val="center"/>
              <w:rPr>
                <w:rFonts w:cs="仿宋_GB2312" w:asciiTheme="minorEastAsia" w:hAnsiTheme="minorEastAsia" w:eastAsiaTheme="minorEastAsia"/>
                <w:color w:val="000000"/>
                <w:sz w:val="18"/>
                <w:szCs w:val="18"/>
              </w:rPr>
            </w:pPr>
          </w:p>
        </w:tc>
        <w:tc>
          <w:tcPr>
            <w:tcW w:w="522" w:type="dxa"/>
            <w:vAlign w:val="center"/>
          </w:tcPr>
          <w:p>
            <w:pPr>
              <w:spacing w:line="300" w:lineRule="auto"/>
              <w:jc w:val="center"/>
              <w:rPr>
                <w:rFonts w:cs="仿宋_GB2312" w:asciiTheme="minorEastAsia" w:hAnsiTheme="minorEastAsia" w:eastAsiaTheme="minorEastAsia"/>
                <w:color w:val="000000"/>
                <w:sz w:val="18"/>
                <w:szCs w:val="18"/>
              </w:rPr>
            </w:pPr>
          </w:p>
        </w:tc>
        <w:tc>
          <w:tcPr>
            <w:tcW w:w="938" w:type="dxa"/>
            <w:vAlign w:val="center"/>
          </w:tcPr>
          <w:p>
            <w:pPr>
              <w:spacing w:line="300" w:lineRule="auto"/>
              <w:jc w:val="both"/>
              <w:rPr>
                <w:rFonts w:cs="仿宋_GB2312" w:asciiTheme="minorEastAsia" w:hAnsiTheme="minorEastAsia" w:eastAsiaTheme="minorEastAsia"/>
                <w:color w:val="000000"/>
                <w:sz w:val="18"/>
                <w:szCs w:val="18"/>
              </w:rPr>
            </w:pPr>
          </w:p>
        </w:tc>
        <w:tc>
          <w:tcPr>
            <w:tcW w:w="848" w:type="dxa"/>
            <w:vAlign w:val="center"/>
          </w:tcPr>
          <w:p>
            <w:pPr>
              <w:spacing w:line="300" w:lineRule="auto"/>
              <w:jc w:val="both"/>
              <w:rPr>
                <w:rFonts w:cs="仿宋_GB2312" w:asciiTheme="minorEastAsia" w:hAnsiTheme="minorEastAsia" w:eastAsiaTheme="minorEastAsia"/>
                <w:color w:val="000000"/>
                <w:sz w:val="18"/>
                <w:szCs w:val="18"/>
              </w:rPr>
            </w:pPr>
          </w:p>
        </w:tc>
        <w:tc>
          <w:tcPr>
            <w:tcW w:w="771" w:type="dxa"/>
            <w:vAlign w:val="center"/>
          </w:tcPr>
          <w:p>
            <w:pPr>
              <w:spacing w:line="300" w:lineRule="auto"/>
              <w:jc w:val="both"/>
              <w:rPr>
                <w:rFonts w:cs="仿宋_GB2312" w:asciiTheme="minorEastAsia" w:hAnsiTheme="minorEastAsia" w:eastAsiaTheme="minorEastAsia"/>
                <w:color w:val="000000"/>
                <w:sz w:val="18"/>
                <w:szCs w:val="18"/>
              </w:rPr>
            </w:pPr>
          </w:p>
        </w:tc>
        <w:tc>
          <w:tcPr>
            <w:tcW w:w="1007" w:type="dxa"/>
            <w:vAlign w:val="center"/>
          </w:tcPr>
          <w:p>
            <w:pPr>
              <w:spacing w:line="300" w:lineRule="auto"/>
              <w:jc w:val="both"/>
              <w:rPr>
                <w:rFonts w:cs="仿宋_GB2312" w:asciiTheme="minorEastAsia" w:hAnsiTheme="minorEastAsia" w:eastAsiaTheme="minorEastAsia"/>
                <w:color w:val="000000"/>
                <w:sz w:val="18"/>
                <w:szCs w:val="18"/>
              </w:rPr>
            </w:pPr>
          </w:p>
        </w:tc>
        <w:tc>
          <w:tcPr>
            <w:tcW w:w="848" w:type="dxa"/>
            <w:vAlign w:val="center"/>
          </w:tcPr>
          <w:p>
            <w:pPr>
              <w:spacing w:line="300" w:lineRule="auto"/>
              <w:jc w:val="both"/>
              <w:rPr>
                <w:rFonts w:cs="仿宋_GB2312" w:asciiTheme="minorEastAsia" w:hAnsiTheme="minorEastAsia" w:eastAsiaTheme="minorEastAsia"/>
                <w:color w:val="000000"/>
                <w:sz w:val="18"/>
                <w:szCs w:val="18"/>
              </w:rPr>
            </w:pPr>
          </w:p>
        </w:tc>
        <w:tc>
          <w:tcPr>
            <w:tcW w:w="742" w:type="dxa"/>
            <w:vAlign w:val="center"/>
          </w:tcPr>
          <w:p>
            <w:pPr>
              <w:spacing w:line="300" w:lineRule="auto"/>
              <w:jc w:val="center"/>
              <w:rPr>
                <w:rFonts w:cs="仿宋_GB2312" w:asciiTheme="minorEastAsia" w:hAnsiTheme="minorEastAsia" w:eastAsiaTheme="minorEastAsia"/>
                <w:color w:val="000000"/>
                <w:sz w:val="18"/>
                <w:szCs w:val="18"/>
              </w:rPr>
            </w:pPr>
          </w:p>
        </w:tc>
        <w:tc>
          <w:tcPr>
            <w:tcW w:w="812" w:type="dxa"/>
            <w:vAlign w:val="center"/>
          </w:tcPr>
          <w:p>
            <w:pPr>
              <w:spacing w:line="300" w:lineRule="auto"/>
              <w:jc w:val="center"/>
              <w:rPr>
                <w:rFonts w:cs="仿宋_GB2312" w:asciiTheme="minorEastAsia" w:hAnsiTheme="minorEastAsia" w:eastAsiaTheme="minorEastAsia"/>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06" w:type="dxa"/>
            <w:vAlign w:val="center"/>
          </w:tcPr>
          <w:p>
            <w:pPr>
              <w:spacing w:line="300" w:lineRule="auto"/>
              <w:jc w:val="center"/>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sz w:val="18"/>
                <w:szCs w:val="18"/>
              </w:rPr>
              <w:t>3</w:t>
            </w:r>
          </w:p>
        </w:tc>
        <w:tc>
          <w:tcPr>
            <w:tcW w:w="1158" w:type="dxa"/>
            <w:vAlign w:val="center"/>
          </w:tcPr>
          <w:p>
            <w:pPr>
              <w:widowControl/>
              <w:spacing w:line="300" w:lineRule="auto"/>
              <w:jc w:val="center"/>
              <w:textAlignment w:val="center"/>
              <w:rPr>
                <w:rFonts w:cs="仿宋_GB2312" w:asciiTheme="minorEastAsia" w:hAnsiTheme="minorEastAsia" w:eastAsiaTheme="minorEastAsia"/>
                <w:color w:val="000000"/>
                <w:sz w:val="18"/>
                <w:szCs w:val="18"/>
              </w:rPr>
            </w:pPr>
          </w:p>
        </w:tc>
        <w:tc>
          <w:tcPr>
            <w:tcW w:w="1298" w:type="dxa"/>
            <w:vAlign w:val="center"/>
          </w:tcPr>
          <w:p>
            <w:pPr>
              <w:widowControl/>
              <w:spacing w:line="300" w:lineRule="auto"/>
              <w:jc w:val="center"/>
              <w:rPr>
                <w:rFonts w:cs="宋体" w:asciiTheme="minorEastAsia" w:hAnsiTheme="minorEastAsia" w:eastAsiaTheme="minorEastAsia"/>
                <w:sz w:val="20"/>
              </w:rPr>
            </w:pPr>
          </w:p>
        </w:tc>
        <w:tc>
          <w:tcPr>
            <w:tcW w:w="398" w:type="dxa"/>
            <w:vAlign w:val="center"/>
          </w:tcPr>
          <w:p>
            <w:pPr>
              <w:widowControl/>
              <w:spacing w:line="300" w:lineRule="auto"/>
              <w:jc w:val="center"/>
              <w:textAlignment w:val="center"/>
              <w:rPr>
                <w:rFonts w:cs="仿宋_GB2312" w:asciiTheme="minorEastAsia" w:hAnsiTheme="minorEastAsia" w:eastAsiaTheme="minorEastAsia"/>
                <w:color w:val="000000"/>
                <w:sz w:val="18"/>
                <w:szCs w:val="18"/>
              </w:rPr>
            </w:pPr>
          </w:p>
        </w:tc>
        <w:tc>
          <w:tcPr>
            <w:tcW w:w="467" w:type="dxa"/>
            <w:vAlign w:val="center"/>
          </w:tcPr>
          <w:p>
            <w:pPr>
              <w:widowControl/>
              <w:spacing w:line="300" w:lineRule="auto"/>
              <w:jc w:val="center"/>
              <w:textAlignment w:val="center"/>
              <w:rPr>
                <w:rFonts w:cs="仿宋_GB2312" w:asciiTheme="minorEastAsia" w:hAnsiTheme="minorEastAsia" w:eastAsiaTheme="minorEastAsia"/>
                <w:color w:val="000000"/>
                <w:sz w:val="18"/>
                <w:szCs w:val="18"/>
              </w:rPr>
            </w:pPr>
          </w:p>
        </w:tc>
        <w:tc>
          <w:tcPr>
            <w:tcW w:w="522" w:type="dxa"/>
            <w:vAlign w:val="center"/>
          </w:tcPr>
          <w:p>
            <w:pPr>
              <w:spacing w:line="300" w:lineRule="auto"/>
              <w:jc w:val="center"/>
              <w:rPr>
                <w:rFonts w:cs="仿宋_GB2312" w:asciiTheme="minorEastAsia" w:hAnsiTheme="minorEastAsia" w:eastAsiaTheme="minorEastAsia"/>
                <w:color w:val="000000"/>
                <w:sz w:val="18"/>
                <w:szCs w:val="18"/>
              </w:rPr>
            </w:pPr>
          </w:p>
        </w:tc>
        <w:tc>
          <w:tcPr>
            <w:tcW w:w="938" w:type="dxa"/>
            <w:vAlign w:val="center"/>
          </w:tcPr>
          <w:p>
            <w:pPr>
              <w:spacing w:line="300" w:lineRule="auto"/>
              <w:jc w:val="both"/>
              <w:rPr>
                <w:rFonts w:cs="仿宋_GB2312" w:asciiTheme="minorEastAsia" w:hAnsiTheme="minorEastAsia" w:eastAsiaTheme="minorEastAsia"/>
                <w:color w:val="000000"/>
                <w:sz w:val="18"/>
                <w:szCs w:val="18"/>
              </w:rPr>
            </w:pPr>
          </w:p>
        </w:tc>
        <w:tc>
          <w:tcPr>
            <w:tcW w:w="848" w:type="dxa"/>
            <w:vAlign w:val="center"/>
          </w:tcPr>
          <w:p>
            <w:pPr>
              <w:spacing w:line="300" w:lineRule="auto"/>
              <w:jc w:val="both"/>
              <w:rPr>
                <w:rFonts w:cs="仿宋_GB2312" w:asciiTheme="minorEastAsia" w:hAnsiTheme="minorEastAsia" w:eastAsiaTheme="minorEastAsia"/>
                <w:color w:val="000000"/>
                <w:sz w:val="18"/>
                <w:szCs w:val="18"/>
              </w:rPr>
            </w:pPr>
          </w:p>
        </w:tc>
        <w:tc>
          <w:tcPr>
            <w:tcW w:w="771" w:type="dxa"/>
            <w:vAlign w:val="center"/>
          </w:tcPr>
          <w:p>
            <w:pPr>
              <w:spacing w:line="300" w:lineRule="auto"/>
              <w:jc w:val="both"/>
              <w:rPr>
                <w:rFonts w:cs="仿宋_GB2312" w:asciiTheme="minorEastAsia" w:hAnsiTheme="minorEastAsia" w:eastAsiaTheme="minorEastAsia"/>
                <w:color w:val="000000"/>
                <w:sz w:val="18"/>
                <w:szCs w:val="18"/>
              </w:rPr>
            </w:pPr>
          </w:p>
        </w:tc>
        <w:tc>
          <w:tcPr>
            <w:tcW w:w="1007" w:type="dxa"/>
            <w:vAlign w:val="center"/>
          </w:tcPr>
          <w:p>
            <w:pPr>
              <w:spacing w:line="300" w:lineRule="auto"/>
              <w:jc w:val="both"/>
              <w:rPr>
                <w:rFonts w:cs="仿宋_GB2312" w:asciiTheme="minorEastAsia" w:hAnsiTheme="minorEastAsia" w:eastAsiaTheme="minorEastAsia"/>
                <w:color w:val="000000"/>
                <w:sz w:val="18"/>
                <w:szCs w:val="18"/>
              </w:rPr>
            </w:pPr>
          </w:p>
        </w:tc>
        <w:tc>
          <w:tcPr>
            <w:tcW w:w="848" w:type="dxa"/>
            <w:vAlign w:val="center"/>
          </w:tcPr>
          <w:p>
            <w:pPr>
              <w:spacing w:line="300" w:lineRule="auto"/>
              <w:jc w:val="both"/>
              <w:rPr>
                <w:rFonts w:cs="仿宋_GB2312" w:asciiTheme="minorEastAsia" w:hAnsiTheme="minorEastAsia" w:eastAsiaTheme="minorEastAsia"/>
                <w:color w:val="000000"/>
                <w:sz w:val="18"/>
                <w:szCs w:val="18"/>
              </w:rPr>
            </w:pPr>
          </w:p>
        </w:tc>
        <w:tc>
          <w:tcPr>
            <w:tcW w:w="742" w:type="dxa"/>
            <w:vAlign w:val="center"/>
          </w:tcPr>
          <w:p>
            <w:pPr>
              <w:spacing w:line="300" w:lineRule="auto"/>
              <w:jc w:val="center"/>
              <w:rPr>
                <w:rFonts w:cs="仿宋_GB2312" w:asciiTheme="minorEastAsia" w:hAnsiTheme="minorEastAsia" w:eastAsiaTheme="minorEastAsia"/>
                <w:color w:val="000000"/>
                <w:sz w:val="18"/>
                <w:szCs w:val="18"/>
              </w:rPr>
            </w:pPr>
          </w:p>
        </w:tc>
        <w:tc>
          <w:tcPr>
            <w:tcW w:w="812" w:type="dxa"/>
            <w:vAlign w:val="center"/>
          </w:tcPr>
          <w:p>
            <w:pPr>
              <w:spacing w:line="300" w:lineRule="auto"/>
              <w:jc w:val="center"/>
              <w:rPr>
                <w:rFonts w:cs="仿宋_GB2312" w:asciiTheme="minorEastAsia" w:hAnsiTheme="minorEastAsia" w:eastAsiaTheme="minorEastAsia"/>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7" w:hRule="atLeast"/>
          <w:jc w:val="center"/>
        </w:trPr>
        <w:tc>
          <w:tcPr>
            <w:tcW w:w="606" w:type="dxa"/>
            <w:vAlign w:val="center"/>
          </w:tcPr>
          <w:p>
            <w:pPr>
              <w:spacing w:line="300" w:lineRule="auto"/>
              <w:jc w:val="center"/>
              <w:rPr>
                <w:rFonts w:cs="仿宋_GB2312" w:asciiTheme="minorEastAsia" w:hAnsiTheme="minorEastAsia" w:eastAsiaTheme="minorEastAsia"/>
                <w:b/>
                <w:color w:val="000000"/>
                <w:sz w:val="18"/>
                <w:szCs w:val="18"/>
              </w:rPr>
            </w:pPr>
            <w:r>
              <w:rPr>
                <w:rFonts w:hint="eastAsia" w:cs="仿宋_GB2312" w:asciiTheme="minorEastAsia" w:hAnsiTheme="minorEastAsia" w:eastAsiaTheme="minorEastAsia"/>
                <w:b/>
                <w:color w:val="000000"/>
                <w:sz w:val="18"/>
                <w:szCs w:val="18"/>
              </w:rPr>
              <w:t>含税总价</w:t>
            </w:r>
          </w:p>
        </w:tc>
        <w:tc>
          <w:tcPr>
            <w:tcW w:w="9809" w:type="dxa"/>
            <w:gridSpan w:val="12"/>
            <w:vAlign w:val="center"/>
          </w:tcPr>
          <w:p>
            <w:pPr>
              <w:spacing w:line="300" w:lineRule="auto"/>
              <w:rPr>
                <w:rFonts w:cs="仿宋_GB2312" w:asciiTheme="minorEastAsia" w:hAnsiTheme="minorEastAsia" w:eastAsiaTheme="minorEastAsia"/>
                <w:b/>
                <w:color w:val="000000"/>
                <w:sz w:val="18"/>
                <w:szCs w:val="18"/>
              </w:rPr>
            </w:pPr>
          </w:p>
        </w:tc>
      </w:tr>
    </w:tbl>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需方同意从供方购买、供方同意向需方出售本合同所列成套设备，包括设备及其安全稳定操作所需的全部必要的材料及备件（以下称合同标的物），以及合同标的物装配、安装、试车、正常操作及维修所需的技术资料。</w:t>
      </w:r>
    </w:p>
    <w:p>
      <w:pPr>
        <w:pStyle w:val="7"/>
      </w:pPr>
      <w:bookmarkStart w:id="164" w:name="_Toc11647"/>
      <w:bookmarkStart w:id="165" w:name="_Toc26898"/>
      <w:bookmarkStart w:id="166" w:name="_Toc14908"/>
      <w:bookmarkStart w:id="167" w:name="_Toc7916"/>
      <w:bookmarkStart w:id="168" w:name="_Toc21589"/>
      <w:r>
        <w:rPr>
          <w:rFonts w:hint="eastAsia"/>
        </w:rPr>
        <w:t xml:space="preserve">第二章  合 同 价 </w:t>
      </w:r>
      <w:bookmarkEnd w:id="164"/>
      <w:bookmarkEnd w:id="165"/>
      <w:bookmarkEnd w:id="166"/>
      <w:bookmarkEnd w:id="167"/>
      <w:bookmarkEnd w:id="168"/>
      <w:r>
        <w:rPr>
          <w:rFonts w:hint="eastAsia"/>
        </w:rPr>
        <w:t>款</w:t>
      </w:r>
    </w:p>
    <w:p>
      <w:pPr>
        <w:spacing w:line="300" w:lineRule="auto"/>
        <w:rPr>
          <w:rFonts w:cs="仿宋_GB2312" w:asciiTheme="minorEastAsia" w:hAnsiTheme="minorEastAsia" w:eastAsiaTheme="minorEastAsia"/>
        </w:rPr>
      </w:pPr>
      <w:r>
        <w:rPr>
          <w:rFonts w:hint="eastAsia" w:cs="仿宋_GB2312" w:asciiTheme="minorEastAsia" w:hAnsiTheme="minorEastAsia" w:eastAsiaTheme="minorEastAsia"/>
          <w:bCs/>
          <w:color w:val="000000"/>
        </w:rPr>
        <w:t>　　</w:t>
      </w:r>
      <w:r>
        <w:rPr>
          <w:rFonts w:hint="eastAsia" w:cs="仿宋_GB2312" w:asciiTheme="minorEastAsia" w:hAnsiTheme="minorEastAsia" w:eastAsiaTheme="minorEastAsia"/>
          <w:bCs/>
        </w:rPr>
        <w:t xml:space="preserve">1. </w:t>
      </w:r>
      <w:r>
        <w:rPr>
          <w:rFonts w:hint="eastAsia" w:cs="仿宋_GB2312" w:asciiTheme="minorEastAsia" w:hAnsiTheme="minorEastAsia" w:eastAsiaTheme="minorEastAsia"/>
        </w:rPr>
        <w:t>供方按本合同第一章规定所提供的合同标的物和技术资料的合同含税总价为：人民币</w:t>
      </w:r>
      <w:r>
        <w:rPr>
          <w:rFonts w:hint="eastAsia" w:cs="仿宋_GB2312" w:asciiTheme="minorEastAsia" w:hAnsiTheme="minorEastAsia" w:eastAsiaTheme="minorEastAsia"/>
          <w:u w:val="single"/>
        </w:rPr>
        <w:t>0元</w:t>
      </w:r>
      <w:r>
        <w:rPr>
          <w:rFonts w:hint="eastAsia" w:cs="仿宋_GB2312" w:asciiTheme="minorEastAsia" w:hAnsiTheme="minorEastAsia" w:eastAsiaTheme="minorEastAsia"/>
        </w:rPr>
        <w:t>整。其中不含税总价为: 人民币</w:t>
      </w:r>
      <w:r>
        <w:rPr>
          <w:rFonts w:hint="eastAsia" w:cs="仿宋_GB2312" w:asciiTheme="minorEastAsia" w:hAnsiTheme="minorEastAsia" w:eastAsiaTheme="minorEastAsia"/>
          <w:u w:val="single"/>
        </w:rPr>
        <w:t>0元</w:t>
      </w:r>
      <w:r>
        <w:rPr>
          <w:rFonts w:hint="eastAsia" w:cs="仿宋_GB2312" w:asciiTheme="minorEastAsia" w:hAnsiTheme="minorEastAsia" w:eastAsiaTheme="minorEastAsia"/>
        </w:rPr>
        <w:t>,增值税总额为:</w:t>
      </w:r>
      <w:r>
        <w:rPr>
          <w:rFonts w:cs="仿宋_GB2312" w:asciiTheme="minorEastAsia" w:hAnsiTheme="minorEastAsia" w:eastAsiaTheme="minorEastAsia"/>
        </w:rPr>
        <w:t xml:space="preserve"> </w:t>
      </w:r>
      <w:r>
        <w:rPr>
          <w:rFonts w:hint="eastAsia" w:cs="仿宋_GB2312" w:asciiTheme="minorEastAsia" w:hAnsiTheme="minorEastAsia" w:eastAsiaTheme="minorEastAsia"/>
        </w:rPr>
        <w:t>人民币</w:t>
      </w:r>
      <w:r>
        <w:rPr>
          <w:rFonts w:hint="eastAsia" w:cs="仿宋_GB2312" w:asciiTheme="minorEastAsia" w:hAnsiTheme="minorEastAsia" w:eastAsiaTheme="minorEastAsia"/>
          <w:u w:val="single"/>
        </w:rPr>
        <w:t>0元</w:t>
      </w:r>
      <w:r>
        <w:rPr>
          <w:rFonts w:hint="eastAsia" w:cs="仿宋_GB2312" w:asciiTheme="minorEastAsia" w:hAnsiTheme="minorEastAsia" w:eastAsiaTheme="minorEastAsia"/>
        </w:rPr>
        <w:t>，具体明细见下表：</w:t>
      </w:r>
    </w:p>
    <w:p>
      <w:pPr>
        <w:numPr>
          <w:ilvl w:val="0"/>
          <w:numId w:val="5"/>
        </w:num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上述本合同总价包括合同标的物本体价款（包括材料、附件、专用工具及仪表、技术资料、技术配合费等）、包装费、运输费及保险费、增值税费、技术服务费。</w:t>
      </w:r>
    </w:p>
    <w:p>
      <w:p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3、合同执行期间，由于国家调整税收政策影响本合同价款的，由买卖双方据实调整。</w:t>
      </w:r>
    </w:p>
    <w:p>
      <w:pPr>
        <w:pStyle w:val="7"/>
      </w:pPr>
      <w:bookmarkStart w:id="169" w:name="_Toc18401"/>
      <w:bookmarkStart w:id="170" w:name="_Toc32132"/>
      <w:bookmarkStart w:id="171" w:name="_Toc6620"/>
      <w:bookmarkStart w:id="172" w:name="_Toc3289"/>
      <w:bookmarkStart w:id="173" w:name="_Toc13897"/>
      <w:r>
        <w:rPr>
          <w:rFonts w:hint="eastAsia"/>
        </w:rPr>
        <w:t>第三章  支付及支付条款</w:t>
      </w:r>
      <w:bookmarkEnd w:id="169"/>
      <w:bookmarkEnd w:id="170"/>
      <w:bookmarkEnd w:id="171"/>
      <w:bookmarkEnd w:id="172"/>
      <w:bookmarkEnd w:id="173"/>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支付本合同货款按下述方法、比例，由需方付给供方：</w:t>
      </w:r>
    </w:p>
    <w:p>
      <w:p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1、货款支付方式：</w:t>
      </w:r>
    </w:p>
    <w:p>
      <w:pPr>
        <w:numPr>
          <w:ilvl w:val="0"/>
          <w:numId w:val="6"/>
        </w:num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预付款：本合同签订后十五日内，供方向需方提交合同总额</w:t>
      </w:r>
      <w:r>
        <w:rPr>
          <w:rFonts w:hint="eastAsia" w:cs="仿宋_GB2312" w:asciiTheme="minorEastAsia" w:hAnsiTheme="minorEastAsia" w:eastAsiaTheme="minorEastAsia"/>
          <w:color w:val="000000"/>
          <w:u w:val="single"/>
        </w:rPr>
        <w:t xml:space="preserve"> </w:t>
      </w:r>
      <w:r>
        <w:rPr>
          <w:rFonts w:cs="仿宋_GB2312" w:asciiTheme="minorEastAsia" w:hAnsiTheme="minorEastAsia" w:eastAsiaTheme="minorEastAsia"/>
          <w:color w:val="000000"/>
          <w:u w:val="single"/>
        </w:rPr>
        <w:t xml:space="preserve">0 </w:t>
      </w:r>
      <w:r>
        <w:rPr>
          <w:rFonts w:hint="eastAsia" w:cs="仿宋_GB2312" w:asciiTheme="minorEastAsia" w:hAnsiTheme="minorEastAsia" w:eastAsiaTheme="minorEastAsia"/>
          <w:color w:val="000000"/>
          <w:u w:val="single"/>
        </w:rPr>
        <w:t>%</w:t>
      </w:r>
      <w:r>
        <w:rPr>
          <w:rFonts w:hint="eastAsia" w:cs="仿宋_GB2312" w:asciiTheme="minorEastAsia" w:hAnsiTheme="minorEastAsia" w:eastAsiaTheme="minorEastAsia"/>
          <w:color w:val="000000"/>
        </w:rPr>
        <w:t>的预付款保函（五大国有控股商业银行）和预付款收据后，需方支付合同总额</w:t>
      </w:r>
      <w:r>
        <w:rPr>
          <w:rFonts w:cs="仿宋_GB2312" w:asciiTheme="minorEastAsia" w:hAnsiTheme="minorEastAsia" w:eastAsiaTheme="minorEastAsia"/>
          <w:color w:val="000000"/>
          <w:u w:val="single"/>
        </w:rPr>
        <w:t xml:space="preserve"> </w:t>
      </w:r>
      <w:r>
        <w:rPr>
          <w:rFonts w:hint="eastAsia" w:cs="仿宋_GB2312" w:asciiTheme="minorEastAsia" w:hAnsiTheme="minorEastAsia" w:eastAsiaTheme="minorEastAsia"/>
          <w:color w:val="000000"/>
          <w:u w:val="single"/>
        </w:rPr>
        <w:t>30 %</w:t>
      </w:r>
      <w:r>
        <w:rPr>
          <w:rFonts w:hint="eastAsia" w:cs="仿宋_GB2312" w:asciiTheme="minorEastAsia" w:hAnsiTheme="minorEastAsia" w:eastAsiaTheme="minorEastAsia"/>
          <w:color w:val="000000"/>
        </w:rPr>
        <w:t>的预付款，计人民币</w:t>
      </w:r>
      <w:r>
        <w:rPr>
          <w:rFonts w:cs="仿宋_GB2312" w:asciiTheme="minorEastAsia" w:hAnsiTheme="minorEastAsia" w:eastAsiaTheme="minorEastAsia"/>
          <w:color w:val="000000"/>
          <w:u w:val="single"/>
        </w:rPr>
        <w:t xml:space="preserve"> 0</w:t>
      </w:r>
      <w:r>
        <w:rPr>
          <w:rFonts w:hint="eastAsia" w:cs="仿宋_GB2312" w:asciiTheme="minorEastAsia" w:hAnsiTheme="minorEastAsia" w:eastAsiaTheme="minorEastAsia"/>
          <w:color w:val="000000"/>
        </w:rPr>
        <w:t>元。</w:t>
      </w:r>
    </w:p>
    <w:p>
      <w:pPr>
        <w:spacing w:line="300" w:lineRule="auto"/>
        <w:ind w:firstLine="480" w:firstLineChars="200"/>
        <w:rPr>
          <w:rFonts w:cs="仿宋_GB2312" w:asciiTheme="minorEastAsia" w:hAnsiTheme="minorEastAsia" w:eastAsiaTheme="minorEastAsia"/>
        </w:rPr>
      </w:pPr>
      <w:r>
        <w:rPr>
          <w:rFonts w:hint="eastAsia" w:cs="仿宋_GB2312" w:asciiTheme="minorEastAsia" w:hAnsiTheme="minorEastAsia" w:eastAsiaTheme="minorEastAsia"/>
          <w:color w:val="000000"/>
        </w:rPr>
        <w:t>（2）供方将标的物交至需方指定仓库货位并经需方代表清点无误，提供仓库收货单，产品合格证，检测报告等资料，且开具增值税专用发票30天内需方支付给供方交货总额的80%；计人民币￥</w:t>
      </w:r>
      <w:r>
        <w:rPr>
          <w:rFonts w:hint="eastAsia" w:cs="仿宋_GB2312" w:asciiTheme="minorEastAsia" w:hAnsiTheme="minorEastAsia" w:eastAsiaTheme="minorEastAsia"/>
        </w:rPr>
        <w:t>:</w:t>
      </w:r>
      <w:r>
        <w:rPr>
          <w:rFonts w:cs="仿宋_GB2312" w:asciiTheme="minorEastAsia" w:hAnsiTheme="minorEastAsia" w:eastAsiaTheme="minorEastAsia"/>
        </w:rPr>
        <w:t xml:space="preserve"> </w:t>
      </w:r>
      <w:r>
        <w:rPr>
          <w:rFonts w:hint="eastAsia" w:cs="仿宋_GB2312" w:asciiTheme="minorEastAsia" w:hAnsiTheme="minorEastAsia" w:eastAsiaTheme="minorEastAsia"/>
          <w:u w:val="single"/>
        </w:rPr>
        <w:t>0元</w:t>
      </w:r>
      <w:r>
        <w:rPr>
          <w:rFonts w:hint="eastAsia" w:cs="仿宋_GB2312" w:asciiTheme="minorEastAsia" w:hAnsiTheme="minorEastAsia" w:eastAsiaTheme="minorEastAsia"/>
        </w:rPr>
        <w:t>。</w:t>
      </w:r>
    </w:p>
    <w:p>
      <w:pPr>
        <w:spacing w:line="300" w:lineRule="auto"/>
        <w:ind w:firstLine="480" w:firstLineChars="200"/>
        <w:rPr>
          <w:rFonts w:cs="仿宋_GB2312" w:asciiTheme="minorEastAsia" w:hAnsiTheme="minorEastAsia" w:eastAsiaTheme="minorEastAsia"/>
          <w:u w:val="single"/>
        </w:rPr>
      </w:pPr>
      <w:r>
        <w:rPr>
          <w:rFonts w:hint="eastAsia" w:cs="仿宋_GB2312" w:asciiTheme="minorEastAsia" w:hAnsiTheme="minorEastAsia" w:eastAsiaTheme="minorEastAsia"/>
          <w:szCs w:val="24"/>
        </w:rPr>
        <w:t>（3）</w:t>
      </w:r>
      <w:r>
        <w:rPr>
          <w:rFonts w:hint="eastAsia" w:cs="仿宋_GB2312" w:asciiTheme="minorEastAsia" w:hAnsiTheme="minorEastAsia" w:eastAsiaTheme="minorEastAsia"/>
        </w:rPr>
        <w:t>设备到达</w:t>
      </w:r>
      <w:r>
        <w:rPr>
          <w:rFonts w:hint="eastAsia" w:cs="仿宋_GB2312" w:asciiTheme="minorEastAsia" w:hAnsiTheme="minorEastAsia" w:eastAsiaTheme="minorEastAsia"/>
          <w:u w:val="single"/>
        </w:rPr>
        <w:t>项目工地后，</w:t>
      </w:r>
      <w:r>
        <w:rPr>
          <w:rFonts w:hint="eastAsia" w:cs="仿宋_GB2312" w:asciiTheme="minorEastAsia" w:hAnsiTheme="minorEastAsia" w:eastAsiaTheme="minorEastAsia"/>
        </w:rPr>
        <w:t>安装、调试、试运行完成，设备性能考核合格，由双方代表签字确认后，30日内支付合同总额的</w:t>
      </w:r>
      <w:r>
        <w:rPr>
          <w:rFonts w:hint="eastAsia" w:cs="仿宋_GB2312" w:asciiTheme="minorEastAsia" w:hAnsiTheme="minorEastAsia" w:eastAsiaTheme="minorEastAsia"/>
          <w:u w:val="single"/>
        </w:rPr>
        <w:t xml:space="preserve">15 </w:t>
      </w:r>
      <w:r>
        <w:rPr>
          <w:rFonts w:hint="eastAsia" w:cs="仿宋_GB2312" w:asciiTheme="minorEastAsia" w:hAnsiTheme="minorEastAsia" w:eastAsiaTheme="minorEastAsia"/>
        </w:rPr>
        <w:t>%，计人民币￥:</w:t>
      </w:r>
      <w:r>
        <w:rPr>
          <w:rFonts w:hint="eastAsia" w:cs="仿宋_GB2312" w:asciiTheme="minorEastAsia" w:hAnsiTheme="minorEastAsia" w:eastAsiaTheme="minorEastAsia"/>
          <w:u w:val="single"/>
        </w:rPr>
        <w:t xml:space="preserve"> 0元。</w:t>
      </w:r>
    </w:p>
    <w:p>
      <w:pPr>
        <w:spacing w:line="300" w:lineRule="auto"/>
        <w:ind w:firstLine="480" w:firstLineChars="200"/>
        <w:rPr>
          <w:rFonts w:cs="仿宋_GB2312" w:asciiTheme="minorEastAsia" w:hAnsiTheme="minorEastAsia" w:eastAsiaTheme="minorEastAsia"/>
          <w:color w:val="000000"/>
          <w:u w:val="single"/>
        </w:rPr>
      </w:pPr>
      <w:bookmarkStart w:id="174" w:name="_Hlk85630688"/>
      <w:r>
        <w:rPr>
          <w:rFonts w:hint="eastAsia" w:cs="仿宋_GB2312" w:asciiTheme="minorEastAsia" w:hAnsiTheme="minorEastAsia" w:eastAsiaTheme="minorEastAsia"/>
          <w:szCs w:val="24"/>
        </w:rPr>
        <w:t>（4）</w:t>
      </w:r>
      <w:bookmarkEnd w:id="174"/>
      <w:r>
        <w:rPr>
          <w:rFonts w:hint="eastAsia" w:cs="仿宋_GB2312" w:asciiTheme="minorEastAsia" w:hAnsiTheme="minorEastAsia" w:eastAsiaTheme="minorEastAsia"/>
        </w:rPr>
        <w:t>合同总额的</w:t>
      </w:r>
      <w:r>
        <w:rPr>
          <w:rFonts w:hint="eastAsia" w:cs="仿宋_GB2312" w:asciiTheme="minorEastAsia" w:hAnsiTheme="minorEastAsia" w:eastAsiaTheme="minorEastAsia"/>
          <w:u w:val="single"/>
        </w:rPr>
        <w:t xml:space="preserve"> 5 %</w:t>
      </w:r>
      <w:r>
        <w:rPr>
          <w:rFonts w:hint="eastAsia" w:cs="仿宋_GB2312" w:asciiTheme="minorEastAsia" w:hAnsiTheme="minorEastAsia" w:eastAsiaTheme="minorEastAsia"/>
        </w:rPr>
        <w:t>，计人民币￥:</w:t>
      </w:r>
      <w:r>
        <w:rPr>
          <w:rFonts w:hint="eastAsia" w:cs="仿宋_GB2312" w:asciiTheme="minorEastAsia" w:hAnsiTheme="minorEastAsia" w:eastAsiaTheme="minorEastAsia"/>
          <w:u w:val="single"/>
        </w:rPr>
        <w:t xml:space="preserve"> 0 </w:t>
      </w:r>
      <w:r>
        <w:rPr>
          <w:rFonts w:hint="eastAsia" w:cs="仿宋_GB2312" w:asciiTheme="minorEastAsia" w:hAnsiTheme="minorEastAsia" w:eastAsiaTheme="minorEastAsia"/>
        </w:rPr>
        <w:t>元留作质量保证金，在合同规定的设备质保期满后30日内，需方向供方支付余下货款。设备质保期的计算</w:t>
      </w:r>
      <w:r>
        <w:rPr>
          <w:rFonts w:hint="eastAsia" w:cs="仿宋_GB2312" w:asciiTheme="minorEastAsia" w:hAnsiTheme="minorEastAsia" w:eastAsiaTheme="minorEastAsia"/>
          <w:color w:val="000000"/>
        </w:rPr>
        <w:t>方式：</w:t>
      </w:r>
      <w:r>
        <w:rPr>
          <w:rFonts w:hint="eastAsia" w:cs="仿宋_GB2312" w:asciiTheme="minorEastAsia" w:hAnsiTheme="minorEastAsia" w:eastAsiaTheme="minorEastAsia"/>
          <w:color w:val="000000"/>
          <w:u w:val="single"/>
        </w:rPr>
        <w:t>自设备验收合格之日起一年。</w:t>
      </w:r>
    </w:p>
    <w:p>
      <w:pPr>
        <w:pStyle w:val="40"/>
        <w:numPr>
          <w:ilvl w:val="0"/>
          <w:numId w:val="0"/>
        </w:numPr>
        <w:ind w:left="420"/>
      </w:pPr>
      <w:r>
        <w:rPr>
          <w:rFonts w:hint="eastAsia" w:cs="仿宋_GB2312" w:asciiTheme="minorEastAsia" w:hAnsiTheme="minorEastAsia" w:eastAsiaTheme="minorEastAsia"/>
          <w:color w:val="000000"/>
          <w:szCs w:val="24"/>
        </w:rPr>
        <w:t>（</w:t>
      </w:r>
      <w:r>
        <w:rPr>
          <w:rFonts w:cs="仿宋_GB2312" w:asciiTheme="minorEastAsia" w:hAnsiTheme="minorEastAsia" w:eastAsiaTheme="minorEastAsia"/>
          <w:color w:val="000000"/>
          <w:szCs w:val="24"/>
        </w:rPr>
        <w:t>5</w:t>
      </w:r>
      <w:r>
        <w:rPr>
          <w:rFonts w:hint="eastAsia" w:cs="仿宋_GB2312" w:asciiTheme="minorEastAsia" w:hAnsiTheme="minorEastAsia" w:eastAsiaTheme="minorEastAsia"/>
          <w:color w:val="000000"/>
          <w:szCs w:val="24"/>
        </w:rPr>
        <w:t>）</w:t>
      </w:r>
      <w:r>
        <w:rPr>
          <w:rFonts w:hint="eastAsia"/>
        </w:rPr>
        <w:t>付款形式：电汇、现金转账支付。</w:t>
      </w:r>
    </w:p>
    <w:p>
      <w:pPr>
        <w:spacing w:line="300" w:lineRule="auto"/>
        <w:ind w:firstLine="480" w:firstLineChars="200"/>
        <w:rPr>
          <w:rFonts w:cs="仿宋_GB2312" w:asciiTheme="minorEastAsia" w:hAnsiTheme="minorEastAsia" w:eastAsiaTheme="minorEastAsia"/>
          <w:b/>
          <w:bCs/>
          <w:color w:val="000000"/>
        </w:rPr>
      </w:pPr>
      <w:r>
        <w:rPr>
          <w:rFonts w:hint="eastAsia" w:cs="仿宋_GB2312" w:asciiTheme="minorEastAsia" w:hAnsiTheme="minorEastAsia" w:eastAsiaTheme="minorEastAsia"/>
          <w:color w:val="000000"/>
        </w:rPr>
        <w:t>2、供方应按需方开票通知要求及时提供增值税专用发票，增值税专用发票开具后，供方应于30日内送达需方，供方提供增值税发票的种类为(增值税专用发票), 增值税开票信息如下：</w:t>
      </w:r>
    </w:p>
    <w:p>
      <w:pPr>
        <w:spacing w:line="300" w:lineRule="auto"/>
        <w:ind w:firstLine="954" w:firstLineChars="396"/>
        <w:rPr>
          <w:rFonts w:cs="仿宋_GB2312" w:asciiTheme="minorEastAsia" w:hAnsiTheme="minorEastAsia" w:eastAsiaTheme="minorEastAsia"/>
          <w:color w:val="000000"/>
        </w:rPr>
      </w:pPr>
      <w:r>
        <w:rPr>
          <w:rFonts w:hint="eastAsia" w:cs="仿宋_GB2312" w:asciiTheme="minorEastAsia" w:hAnsiTheme="minorEastAsia" w:eastAsiaTheme="minorEastAsia"/>
          <w:b/>
          <w:bCs/>
          <w:color w:val="000000"/>
        </w:rPr>
        <w:t>需方增值税发票开票信息</w:t>
      </w:r>
      <w:r>
        <w:rPr>
          <w:rFonts w:hint="eastAsia" w:cs="仿宋_GB2312" w:asciiTheme="minorEastAsia" w:hAnsiTheme="minorEastAsia" w:eastAsiaTheme="minorEastAsia"/>
          <w:color w:val="000000"/>
        </w:rPr>
        <w:t>：</w:t>
      </w:r>
    </w:p>
    <w:p>
      <w:pPr>
        <w:spacing w:line="300" w:lineRule="auto"/>
        <w:ind w:firstLine="960" w:firstLineChars="400"/>
        <w:rPr>
          <w:rFonts w:cs="仿宋_GB2312" w:asciiTheme="minorEastAsia" w:hAnsiTheme="minorEastAsia" w:eastAsiaTheme="minorEastAsia"/>
          <w:color w:val="000000"/>
          <w:szCs w:val="24"/>
        </w:rPr>
      </w:pPr>
      <w:r>
        <w:rPr>
          <w:rFonts w:hint="eastAsia" w:cs="仿宋_GB2312" w:asciiTheme="minorEastAsia" w:hAnsiTheme="minorEastAsia" w:eastAsiaTheme="minorEastAsia"/>
          <w:color w:val="000000"/>
          <w:szCs w:val="24"/>
        </w:rPr>
        <w:t>单位名称：</w:t>
      </w:r>
    </w:p>
    <w:p>
      <w:pPr>
        <w:spacing w:line="300" w:lineRule="auto"/>
        <w:ind w:firstLine="480" w:firstLineChars="200"/>
        <w:rPr>
          <w:rFonts w:cs="仿宋_GB2312" w:asciiTheme="minorEastAsia" w:hAnsiTheme="minorEastAsia" w:eastAsiaTheme="minorEastAsia"/>
          <w:color w:val="000000"/>
          <w:szCs w:val="24"/>
        </w:rPr>
      </w:pPr>
      <w:r>
        <w:rPr>
          <w:rFonts w:hint="eastAsia" w:cs="仿宋_GB2312" w:asciiTheme="minorEastAsia" w:hAnsiTheme="minorEastAsia" w:eastAsiaTheme="minorEastAsia"/>
          <w:color w:val="000000"/>
          <w:szCs w:val="24"/>
        </w:rPr>
        <w:t xml:space="preserve">    纳税人识别号：</w:t>
      </w:r>
    </w:p>
    <w:p>
      <w:pPr>
        <w:spacing w:line="300" w:lineRule="auto"/>
        <w:ind w:firstLine="480" w:firstLineChars="200"/>
        <w:rPr>
          <w:rFonts w:cs="仿宋_GB2312" w:asciiTheme="minorEastAsia" w:hAnsiTheme="minorEastAsia" w:eastAsiaTheme="minorEastAsia"/>
          <w:color w:val="000000"/>
          <w:szCs w:val="24"/>
        </w:rPr>
      </w:pPr>
      <w:r>
        <w:rPr>
          <w:rFonts w:hint="eastAsia" w:cs="仿宋_GB2312" w:asciiTheme="minorEastAsia" w:hAnsiTheme="minorEastAsia" w:eastAsiaTheme="minorEastAsia"/>
          <w:color w:val="000000"/>
          <w:szCs w:val="24"/>
        </w:rPr>
        <w:t xml:space="preserve">    注册地址：</w:t>
      </w:r>
    </w:p>
    <w:p>
      <w:pPr>
        <w:spacing w:line="300" w:lineRule="auto"/>
        <w:ind w:firstLine="960" w:firstLineChars="400"/>
        <w:rPr>
          <w:rFonts w:cs="仿宋_GB2312" w:asciiTheme="minorEastAsia" w:hAnsiTheme="minorEastAsia" w:eastAsiaTheme="minorEastAsia"/>
          <w:color w:val="000000"/>
          <w:szCs w:val="24"/>
        </w:rPr>
      </w:pPr>
      <w:r>
        <w:rPr>
          <w:rFonts w:hint="eastAsia" w:cs="仿宋_GB2312" w:asciiTheme="minorEastAsia" w:hAnsiTheme="minorEastAsia" w:eastAsiaTheme="minorEastAsia"/>
          <w:color w:val="000000"/>
          <w:szCs w:val="24"/>
        </w:rPr>
        <w:t>邮编：</w:t>
      </w:r>
    </w:p>
    <w:p>
      <w:pPr>
        <w:spacing w:line="300" w:lineRule="auto"/>
        <w:ind w:firstLine="480" w:firstLineChars="200"/>
        <w:rPr>
          <w:rFonts w:cs="仿宋_GB2312" w:asciiTheme="minorEastAsia" w:hAnsiTheme="minorEastAsia" w:eastAsiaTheme="minorEastAsia"/>
          <w:color w:val="000000"/>
          <w:szCs w:val="24"/>
        </w:rPr>
      </w:pPr>
      <w:r>
        <w:rPr>
          <w:rFonts w:hint="eastAsia" w:cs="仿宋_GB2312" w:asciiTheme="minorEastAsia" w:hAnsiTheme="minorEastAsia" w:eastAsiaTheme="minorEastAsia"/>
          <w:color w:val="000000"/>
          <w:szCs w:val="24"/>
        </w:rPr>
        <w:t xml:space="preserve">    通信地址： </w:t>
      </w:r>
    </w:p>
    <w:p>
      <w:pPr>
        <w:spacing w:line="300" w:lineRule="auto"/>
        <w:ind w:firstLine="480" w:firstLineChars="200"/>
        <w:rPr>
          <w:rFonts w:cs="仿宋_GB2312" w:asciiTheme="minorEastAsia" w:hAnsiTheme="minorEastAsia" w:eastAsiaTheme="minorEastAsia"/>
          <w:color w:val="000000"/>
          <w:szCs w:val="24"/>
        </w:rPr>
      </w:pPr>
      <w:r>
        <w:rPr>
          <w:rFonts w:hint="eastAsia" w:cs="仿宋_GB2312" w:asciiTheme="minorEastAsia" w:hAnsiTheme="minorEastAsia" w:eastAsiaTheme="minorEastAsia"/>
          <w:color w:val="000000"/>
          <w:szCs w:val="24"/>
        </w:rPr>
        <w:t xml:space="preserve">    电话：</w:t>
      </w:r>
    </w:p>
    <w:p>
      <w:pPr>
        <w:spacing w:line="300" w:lineRule="auto"/>
        <w:ind w:firstLine="480" w:firstLineChars="200"/>
        <w:rPr>
          <w:rFonts w:cs="仿宋_GB2312" w:asciiTheme="minorEastAsia" w:hAnsiTheme="minorEastAsia" w:eastAsiaTheme="minorEastAsia"/>
          <w:color w:val="000000"/>
          <w:szCs w:val="24"/>
        </w:rPr>
      </w:pPr>
      <w:r>
        <w:rPr>
          <w:rFonts w:hint="eastAsia" w:cs="仿宋_GB2312" w:asciiTheme="minorEastAsia" w:hAnsiTheme="minorEastAsia" w:eastAsiaTheme="minorEastAsia"/>
          <w:color w:val="000000"/>
          <w:szCs w:val="24"/>
        </w:rPr>
        <w:t xml:space="preserve">    开户行： </w:t>
      </w:r>
    </w:p>
    <w:p>
      <w:pPr>
        <w:spacing w:line="300" w:lineRule="auto"/>
        <w:ind w:firstLine="960" w:firstLineChars="400"/>
        <w:rPr>
          <w:rFonts w:cs="仿宋_GB2312" w:asciiTheme="minorEastAsia" w:hAnsiTheme="minorEastAsia" w:eastAsiaTheme="minorEastAsia"/>
          <w:color w:val="000000"/>
          <w:szCs w:val="24"/>
        </w:rPr>
      </w:pPr>
      <w:r>
        <w:rPr>
          <w:rFonts w:hint="eastAsia" w:cs="仿宋_GB2312" w:asciiTheme="minorEastAsia" w:hAnsiTheme="minorEastAsia" w:eastAsiaTheme="minorEastAsia"/>
          <w:color w:val="000000"/>
          <w:szCs w:val="24"/>
        </w:rPr>
        <w:t>开户行账号</w:t>
      </w:r>
      <w:r>
        <w:rPr>
          <w:rFonts w:hint="eastAsia" w:asciiTheme="minorEastAsia" w:hAnsiTheme="minorEastAsia" w:eastAsiaTheme="minorEastAsia"/>
        </w:rPr>
        <w:t xml:space="preserve">  </w:t>
      </w:r>
      <w:r>
        <w:rPr>
          <w:rFonts w:hint="eastAsia" w:cs="华文细黑" w:asciiTheme="minorEastAsia" w:hAnsiTheme="minorEastAsia" w:eastAsiaTheme="minorEastAsia"/>
          <w:b/>
        </w:rPr>
        <w:t>开户行行号：</w:t>
      </w:r>
    </w:p>
    <w:p>
      <w:pPr>
        <w:spacing w:line="300" w:lineRule="auto"/>
        <w:ind w:firstLine="482"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b/>
          <w:bCs/>
          <w:color w:val="000000"/>
        </w:rPr>
        <w:t xml:space="preserve">    供方增值税发票开票信息</w:t>
      </w:r>
      <w:r>
        <w:rPr>
          <w:rFonts w:hint="eastAsia" w:cs="仿宋_GB2312" w:asciiTheme="minorEastAsia" w:hAnsiTheme="minorEastAsia" w:eastAsiaTheme="minorEastAsia"/>
          <w:color w:val="000000"/>
        </w:rPr>
        <w:t>：</w:t>
      </w:r>
    </w:p>
    <w:p>
      <w:pPr>
        <w:spacing w:line="300" w:lineRule="auto"/>
        <w:ind w:firstLine="960" w:firstLineChars="4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单位名称：</w:t>
      </w:r>
    </w:p>
    <w:p>
      <w:pPr>
        <w:spacing w:line="300" w:lineRule="auto"/>
        <w:jc w:val="both"/>
        <w:rPr>
          <w:rFonts w:cs="仿宋" w:asciiTheme="minorEastAsia" w:hAnsiTheme="minorEastAsia" w:eastAsiaTheme="minorEastAsia"/>
          <w:color w:val="000000"/>
        </w:rPr>
      </w:pPr>
      <w:r>
        <w:rPr>
          <w:rFonts w:hint="eastAsia" w:cs="仿宋_GB2312" w:asciiTheme="minorEastAsia" w:hAnsiTheme="minorEastAsia" w:eastAsiaTheme="minorEastAsia"/>
          <w:color w:val="000000"/>
        </w:rPr>
        <w:t xml:space="preserve">        纳税人识别号：</w:t>
      </w:r>
    </w:p>
    <w:p>
      <w:pPr>
        <w:spacing w:line="300" w:lineRule="auto"/>
        <w:ind w:firstLine="960" w:firstLineChars="4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注册地址：</w:t>
      </w:r>
    </w:p>
    <w:p>
      <w:pPr>
        <w:spacing w:line="300" w:lineRule="auto"/>
        <w:ind w:firstLine="960" w:firstLineChars="4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通信地址：</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 xml:space="preserve">        电话：</w:t>
      </w:r>
    </w:p>
    <w:p>
      <w:pPr>
        <w:spacing w:line="300" w:lineRule="auto"/>
        <w:jc w:val="both"/>
        <w:rPr>
          <w:rFonts w:cs="仿宋" w:asciiTheme="minorEastAsia" w:hAnsiTheme="minorEastAsia" w:eastAsiaTheme="minorEastAsia"/>
          <w:color w:val="000000"/>
          <w:szCs w:val="24"/>
        </w:rPr>
      </w:pPr>
      <w:r>
        <w:rPr>
          <w:rFonts w:hint="eastAsia" w:cs="仿宋_GB2312" w:asciiTheme="minorEastAsia" w:hAnsiTheme="minorEastAsia" w:eastAsiaTheme="minorEastAsia"/>
          <w:color w:val="000000"/>
        </w:rPr>
        <w:t xml:space="preserve">        开户行及账号：</w:t>
      </w:r>
    </w:p>
    <w:p>
      <w:pPr>
        <w:spacing w:line="300" w:lineRule="auto"/>
        <w:ind w:firstLine="960" w:firstLineChars="400"/>
        <w:rPr>
          <w:rFonts w:cs="仿宋_GB2312" w:asciiTheme="minorEastAsia" w:hAnsiTheme="minorEastAsia" w:eastAsiaTheme="minorEastAsia"/>
          <w:szCs w:val="24"/>
        </w:rPr>
      </w:pPr>
      <w:r>
        <w:rPr>
          <w:rFonts w:hint="eastAsia" w:cs="仿宋_GB2312" w:asciiTheme="minorEastAsia" w:hAnsiTheme="minorEastAsia" w:eastAsiaTheme="minorEastAsia"/>
          <w:szCs w:val="24"/>
        </w:rPr>
        <w:t>行号：</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 xml:space="preserve">    3.供方提供的增值税发票应符合国家税法的有关规定，并经需方认证合格后，方可要求需方支付除质保金外款项。因供方开具的增值税票不合格，供方需承担违约责任。不合格增值税票包括但不限于以下情形：</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 xml:space="preserve">   </w:t>
      </w:r>
      <w:r>
        <w:rPr>
          <w:rFonts w:cs="仿宋_GB2312" w:asciiTheme="minorEastAsia" w:hAnsiTheme="minorEastAsia" w:eastAsiaTheme="minorEastAsia"/>
          <w:color w:val="000000"/>
        </w:rPr>
        <w:t xml:space="preserve"> </w:t>
      </w:r>
      <w:r>
        <w:rPr>
          <w:rFonts w:hint="eastAsia" w:cs="仿宋_GB2312" w:asciiTheme="minorEastAsia" w:hAnsiTheme="minorEastAsia" w:eastAsiaTheme="minorEastAsia"/>
          <w:color w:val="000000"/>
        </w:rPr>
        <w:t>(1)开具虚假、作废等无效增值税发票或者违反国家法律法规开具、提供增值税票的；</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 xml:space="preserve">   </w:t>
      </w:r>
      <w:r>
        <w:rPr>
          <w:rFonts w:cs="仿宋_GB2312" w:asciiTheme="minorEastAsia" w:hAnsiTheme="minorEastAsia" w:eastAsiaTheme="minorEastAsia"/>
          <w:color w:val="000000"/>
        </w:rPr>
        <w:t xml:space="preserve"> </w:t>
      </w:r>
      <w:r>
        <w:rPr>
          <w:rFonts w:hint="eastAsia" w:cs="仿宋_GB2312" w:asciiTheme="minorEastAsia" w:hAnsiTheme="minorEastAsia" w:eastAsiaTheme="minorEastAsia"/>
          <w:color w:val="000000"/>
        </w:rPr>
        <w:t>(2)开具增值税发票种类错误；</w:t>
      </w:r>
    </w:p>
    <w:p>
      <w:p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(3)开具增值发票票面税率与合同约定不符；</w:t>
      </w:r>
    </w:p>
    <w:p>
      <w:p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(4)增值税发票上的信息错误；</w:t>
      </w:r>
    </w:p>
    <w:p>
      <w:p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(5)因供方迟延送达、开具错误等原因造成增值票专用发票认证失败等。</w:t>
      </w:r>
    </w:p>
    <w:p>
      <w:pPr>
        <w:pStyle w:val="7"/>
      </w:pPr>
      <w:bookmarkStart w:id="175" w:name="_Toc7524"/>
      <w:bookmarkStart w:id="176" w:name="_Toc31199"/>
      <w:bookmarkStart w:id="177" w:name="_Toc29150"/>
      <w:bookmarkStart w:id="178" w:name="_Toc17407"/>
      <w:bookmarkStart w:id="179" w:name="_Toc21515"/>
      <w:r>
        <w:rPr>
          <w:rFonts w:hint="eastAsia"/>
        </w:rPr>
        <w:t xml:space="preserve">第四章 </w:t>
      </w:r>
      <w:r>
        <w:t xml:space="preserve"> </w:t>
      </w:r>
      <w:r>
        <w:rPr>
          <w:rFonts w:hint="eastAsia"/>
        </w:rPr>
        <w:t>交货及交货条件</w:t>
      </w:r>
      <w:bookmarkEnd w:id="175"/>
      <w:bookmarkEnd w:id="176"/>
      <w:bookmarkEnd w:id="177"/>
      <w:bookmarkEnd w:id="178"/>
      <w:bookmarkEnd w:id="179"/>
    </w:p>
    <w:p>
      <w:pPr>
        <w:numPr>
          <w:ilvl w:val="0"/>
          <w:numId w:val="7"/>
        </w:numPr>
        <w:spacing w:line="300" w:lineRule="auto"/>
        <w:ind w:firstLine="470" w:firstLineChars="196"/>
        <w:rPr>
          <w:rFonts w:cs="仿宋_GB2312" w:asciiTheme="minorEastAsia" w:hAnsiTheme="minorEastAsia" w:eastAsiaTheme="minorEastAsia"/>
        </w:rPr>
      </w:pPr>
      <w:r>
        <w:rPr>
          <w:rFonts w:hint="eastAsia" w:cs="仿宋_GB2312" w:asciiTheme="minorEastAsia" w:hAnsiTheme="minorEastAsia" w:eastAsiaTheme="minorEastAsia"/>
          <w:u w:val="single"/>
        </w:rPr>
        <w:t>2021年***月***日前</w:t>
      </w:r>
      <w:r>
        <w:rPr>
          <w:rFonts w:hint="eastAsia" w:cs="仿宋_GB2312" w:asciiTheme="minorEastAsia" w:hAnsiTheme="minorEastAsia" w:eastAsiaTheme="minorEastAsia"/>
        </w:rPr>
        <w:t>，供方将合同标的物按需方要求交至</w:t>
      </w:r>
      <w:r>
        <w:rPr>
          <w:rFonts w:hint="eastAsia" w:cs="仿宋_GB2312" w:asciiTheme="minorEastAsia" w:hAnsiTheme="minorEastAsia" w:eastAsiaTheme="minorEastAsia"/>
          <w:u w:val="single"/>
        </w:rPr>
        <w:t>*****</w:t>
      </w:r>
      <w:r>
        <w:rPr>
          <w:rFonts w:hint="eastAsia" w:asciiTheme="minorEastAsia" w:hAnsiTheme="minorEastAsia" w:eastAsiaTheme="minorEastAsia"/>
          <w:bCs/>
          <w:szCs w:val="21"/>
        </w:rPr>
        <w:t>，</w:t>
      </w:r>
      <w:r>
        <w:rPr>
          <w:rFonts w:hint="eastAsia" w:cs="仿宋_GB2312" w:asciiTheme="minorEastAsia" w:hAnsiTheme="minorEastAsia" w:eastAsiaTheme="minorEastAsia"/>
        </w:rPr>
        <w:t>若需方需要延迟交货，则按需方通知时间交货。</w:t>
      </w:r>
    </w:p>
    <w:p>
      <w:pPr>
        <w:numPr>
          <w:ilvl w:val="0"/>
          <w:numId w:val="7"/>
        </w:num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交货前，供方应向需方提交包括序号、设备名称、型号、规格、单位、数量、单件毛重、外形尺寸、总体积、交货时间、交货地等准确的装箱清单。同时提供电子版产品说明书、合格证，其他技术资料。</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3.需方或其指定代表在交货地点会同物流单位按照国家、行业相关标准及合同规定、产品箱件清单对供方的货物包装、箱件数量及包装损坏情况进行验收并拍照留存，验收合格后出具经三方签字的《货物交接单》，但不免除供方对合同标的物的质量责任。合同标的物的毁损、灭失风险自供方完成交货后转移至需方。如需方或其指定代表发现供方所提供货物与合同规定或供方样品不符及有表面瑕疵的，供方应无条件换货或补足，由于此原因引起的费用由供方承担。</w:t>
      </w:r>
    </w:p>
    <w:p>
      <w:pPr>
        <w:pStyle w:val="7"/>
      </w:pPr>
      <w:bookmarkStart w:id="180" w:name="_Toc32318"/>
      <w:bookmarkStart w:id="181" w:name="_Toc17952"/>
      <w:bookmarkStart w:id="182" w:name="_Toc2730"/>
      <w:bookmarkStart w:id="183" w:name="_Toc29630"/>
      <w:bookmarkStart w:id="184" w:name="_Toc17452"/>
      <w:r>
        <w:rPr>
          <w:rFonts w:hint="eastAsia"/>
        </w:rPr>
        <w:t>第五章  包装与标记</w:t>
      </w:r>
      <w:bookmarkEnd w:id="180"/>
      <w:bookmarkEnd w:id="181"/>
      <w:bookmarkEnd w:id="182"/>
      <w:bookmarkEnd w:id="183"/>
      <w:bookmarkEnd w:id="184"/>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1.供方交付的所有货物必须按照需方要求和国家相关法律法规要求的标准进行包装。包装物必须适合国内长距离和多次装卸的强度要求，并应根据货物的特点和需要，加上防潮、防雨、防尘、防震、防腐蚀的保护措施，以保证货物安全无损地运抵安装地点。</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2.供方对包装箱内和捆扎的散装部件均应系加标签、注明合同号、主机名称、本部件名称以及该部件在装配图中的位号、零件号。备件和工具除注明上述内容外，还需注明“备件”或“工具”字样。</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3.供方应在每个包装箱的四个邻接侧面上，根据需方要求用不褪色的红色油漆，以明显易见的</w:t>
      </w:r>
      <w:r>
        <w:rPr>
          <w:rFonts w:hint="eastAsia" w:cs="仿宋_GB2312" w:asciiTheme="minorEastAsia" w:hAnsiTheme="minorEastAsia" w:eastAsiaTheme="minorEastAsia"/>
          <w:color w:val="000000"/>
          <w:u w:val="single"/>
        </w:rPr>
        <w:t>　　</w:t>
      </w:r>
      <w:r>
        <w:rPr>
          <w:rFonts w:hint="eastAsia" w:cs="仿宋_GB2312" w:asciiTheme="minorEastAsia" w:hAnsiTheme="minorEastAsia" w:eastAsiaTheme="minorEastAsia"/>
          <w:color w:val="000000"/>
        </w:rPr>
        <w:t>文字样印刷包装标记。</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4.应在包装箱的两侧以常用的标记和图案标明重量及起吊位置，以便装卸搬运，根据货物的特点和装卸及运输上的不同要求，在包装箱上应明显地印刷“轻放”、“勿倒置”、“保持干燥”等字样以及相应的通用标记图案。</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5.为确保包装符合国家规定，供方须在计划包装前向需方提交包装方案，需方有权对供方的包装方案进行预审，需方应及时纠正供方所提出的不符合相关国家和合同规定的包装问题。</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6.凡由于供方未按相关国家标准和合同规定进行包装，致使货物遭到损坏或丢失时，供方应负责无偿修理、更换或赔偿。</w:t>
      </w:r>
    </w:p>
    <w:p>
      <w:pPr>
        <w:pStyle w:val="7"/>
      </w:pPr>
      <w:bookmarkStart w:id="185" w:name="_Toc28423"/>
      <w:bookmarkStart w:id="186" w:name="_Toc8537"/>
      <w:bookmarkStart w:id="187" w:name="_Toc16591"/>
      <w:bookmarkStart w:id="188" w:name="_Toc20061"/>
      <w:bookmarkStart w:id="189" w:name="_Toc16738"/>
      <w:r>
        <w:rPr>
          <w:rFonts w:hint="eastAsia"/>
        </w:rPr>
        <w:t>第六章 安装、试车、验收及技术服务</w:t>
      </w:r>
      <w:bookmarkEnd w:id="185"/>
      <w:bookmarkEnd w:id="186"/>
      <w:bookmarkEnd w:id="187"/>
      <w:bookmarkEnd w:id="188"/>
      <w:bookmarkEnd w:id="189"/>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1.合同标的物的安装、无负荷试车由供方负责、需方配合，负荷试车和考核由需方负责、供方配合。</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　　２.安装工作开始前，需方要对到达现场的货物进行开箱验收：按照详细的装箱清单对供方货物的包装、品种、型号、规格、数量、质量、各种质量证明文件（包括但不限于该货物的说明书、合格证、工厂检验和试验报告、安装运行及维护说明书）等进行验收。</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３.在安装工作开始前，供方技术人员应详细介绍安装方法和要求；在安装期间，供方技术人员负责安装过程的技术指导。</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４.安装完成后，双方代表签署安装完成证书，确认安装工作完全符合设计要求。</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５.双方共同制定无负荷试车及负荷试车计划，试车完成后双方共同验收并办理书面手续。</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６.合同标的物的验收并不免除供方在合同标的物质保期内的责任。</w:t>
      </w:r>
    </w:p>
    <w:p>
      <w:pPr>
        <w:pStyle w:val="7"/>
      </w:pPr>
      <w:bookmarkStart w:id="190" w:name="_Toc24587"/>
      <w:bookmarkStart w:id="191" w:name="_Toc9937"/>
      <w:bookmarkStart w:id="192" w:name="_Toc26628"/>
      <w:bookmarkStart w:id="193" w:name="_Toc24076"/>
      <w:bookmarkStart w:id="194" w:name="_Toc3861"/>
      <w:r>
        <w:rPr>
          <w:rFonts w:hint="eastAsia"/>
        </w:rPr>
        <w:t>第七章  保证、索赔和违约金</w:t>
      </w:r>
      <w:bookmarkEnd w:id="190"/>
      <w:bookmarkEnd w:id="191"/>
      <w:bookmarkEnd w:id="192"/>
      <w:bookmarkEnd w:id="193"/>
      <w:bookmarkEnd w:id="194"/>
    </w:p>
    <w:p>
      <w:pPr>
        <w:spacing w:line="300" w:lineRule="auto"/>
        <w:ind w:firstLine="480" w:firstLineChars="200"/>
        <w:rPr>
          <w:rFonts w:cs="仿宋_GB2312" w:asciiTheme="minorEastAsia" w:hAnsiTheme="minorEastAsia" w:eastAsiaTheme="minorEastAsia"/>
          <w:color w:val="000000"/>
        </w:rPr>
      </w:pPr>
      <w:bookmarkStart w:id="195" w:name="_Toc19120"/>
      <w:bookmarkStart w:id="196" w:name="_Toc29439"/>
      <w:r>
        <w:rPr>
          <w:rFonts w:hint="eastAsia" w:cs="仿宋_GB2312" w:asciiTheme="minorEastAsia" w:hAnsiTheme="minorEastAsia" w:eastAsiaTheme="minorEastAsia"/>
          <w:color w:val="000000"/>
        </w:rPr>
        <w:t>1.保证及索赔</w:t>
      </w:r>
      <w:bookmarkEnd w:id="195"/>
      <w:bookmarkEnd w:id="196"/>
    </w:p>
    <w:p>
      <w:pPr>
        <w:spacing w:line="300" w:lineRule="auto"/>
        <w:ind w:firstLine="470" w:firstLineChars="196"/>
        <w:rPr>
          <w:rFonts w:cs="仿宋_GB2312" w:asciiTheme="minorEastAsia" w:hAnsiTheme="minorEastAsia" w:eastAsiaTheme="minorEastAsia"/>
          <w:b/>
          <w:bCs/>
          <w:color w:val="000000"/>
          <w:u w:val="single"/>
        </w:rPr>
      </w:pPr>
      <w:r>
        <w:rPr>
          <w:rFonts w:hint="eastAsia" w:cs="仿宋_GB2312" w:asciiTheme="minorEastAsia" w:hAnsiTheme="minorEastAsia" w:eastAsiaTheme="minorEastAsia"/>
          <w:color w:val="000000"/>
        </w:rPr>
        <w:t>(1)供方保证其所交付的技术资料和图纸清晰、完整、正确并能满足合同标的物设计、安装、运行和维修的要求。</w:t>
      </w:r>
    </w:p>
    <w:p>
      <w:pPr>
        <w:tabs>
          <w:tab w:val="left" w:pos="0"/>
        </w:tabs>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(2)供方保证提供的材料无缺陷，保证供方技术人员的指导或供方提供的技术资料、图纸、说明书无错误。</w:t>
      </w:r>
    </w:p>
    <w:p>
      <w:pPr>
        <w:spacing w:line="300" w:lineRule="auto"/>
        <w:ind w:firstLine="480" w:firstLineChars="200"/>
        <w:rPr>
          <w:rFonts w:cs="仿宋_GB2312" w:asciiTheme="minorEastAsia" w:hAnsiTheme="minorEastAsia" w:eastAsiaTheme="minorEastAsia"/>
          <w:color w:val="000000"/>
          <w:u w:val="single"/>
        </w:rPr>
      </w:pPr>
      <w:r>
        <w:rPr>
          <w:rFonts w:hint="eastAsia" w:cs="仿宋_GB2312" w:asciiTheme="minorEastAsia" w:hAnsiTheme="minorEastAsia" w:eastAsiaTheme="minorEastAsia"/>
          <w:color w:val="000000"/>
        </w:rPr>
        <w:t>(3)供方保证其供应的合同标的物是全新的，技术水平是先进的，质量是最好的，能满足正常安全运行及长期使用的要求。供方对本合同标的物的</w:t>
      </w:r>
      <w:r>
        <w:rPr>
          <w:rFonts w:hint="eastAsia" w:cs="仿宋_GB2312" w:asciiTheme="minorEastAsia" w:hAnsiTheme="minorEastAsia" w:eastAsiaTheme="minorEastAsia"/>
          <w:bCs/>
          <w:color w:val="000000"/>
        </w:rPr>
        <w:t>质量保证期</w:t>
      </w:r>
      <w:r>
        <w:rPr>
          <w:rFonts w:hint="eastAsia" w:cs="仿宋_GB2312" w:asciiTheme="minorEastAsia" w:hAnsiTheme="minorEastAsia" w:eastAsiaTheme="minorEastAsia"/>
          <w:color w:val="000000"/>
        </w:rPr>
        <w:t>为</w:t>
      </w:r>
      <w:r>
        <w:rPr>
          <w:rFonts w:hint="eastAsia" w:cs="仿宋_GB2312" w:asciiTheme="minorEastAsia" w:hAnsiTheme="minorEastAsia" w:eastAsiaTheme="minorEastAsia"/>
          <w:color w:val="000000"/>
          <w:u w:val="single"/>
        </w:rPr>
        <w:t>自设备验收合格之日起一年。</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(4)供方保证换货期不迟于证实属供方责任之日起5日内。如属微小缺陷，经供方同意，可由需方自行消除，但由此引起的费用由供方负担。</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(5)供方保证接到需方的索赔通知书后，立即无偿换货或赔偿。如供方对索赔有异议时，应在接到需方索赔通知书后1个星期内提出异议，逾期则索赔成立。</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(6)供方保证在质量保证期内，如由于供方的原因需要更换、修理有缺陷的合同标的物而使本合同标的物停机时，则保证期应按实际停机的时间作相应的延长</w:t>
      </w:r>
      <w:r>
        <w:rPr>
          <w:rFonts w:hint="eastAsia" w:cs="仿宋_GB2312" w:asciiTheme="minorEastAsia" w:hAnsiTheme="minorEastAsia" w:eastAsiaTheme="minorEastAsia"/>
          <w:b/>
          <w:color w:val="000000"/>
        </w:rPr>
        <w:t>。</w:t>
      </w:r>
      <w:r>
        <w:rPr>
          <w:rFonts w:hint="eastAsia" w:cs="仿宋_GB2312" w:asciiTheme="minorEastAsia" w:hAnsiTheme="minorEastAsia" w:eastAsiaTheme="minorEastAsia"/>
          <w:bCs/>
          <w:color w:val="000000"/>
        </w:rPr>
        <w:t>新更换和补充修复的合同标的物的保证期</w:t>
      </w:r>
      <w:r>
        <w:rPr>
          <w:rFonts w:hint="eastAsia" w:cs="仿宋_GB2312" w:asciiTheme="minorEastAsia" w:hAnsiTheme="minorEastAsia" w:eastAsiaTheme="minorEastAsia"/>
          <w:color w:val="000000"/>
        </w:rPr>
        <w:t>为</w:t>
      </w:r>
      <w:r>
        <w:rPr>
          <w:rFonts w:hint="eastAsia" w:cs="仿宋_GB2312" w:asciiTheme="minorEastAsia" w:hAnsiTheme="minorEastAsia" w:eastAsiaTheme="minorEastAsia"/>
          <w:color w:val="000000"/>
          <w:u w:val="single"/>
        </w:rPr>
        <w:t>自设备验收合格之日起一年。</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(7)供方保证所提供的合同标的物在使用前经需方检验不合格，供方应无条件退货。</w:t>
      </w:r>
    </w:p>
    <w:p>
      <w:p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（8）供方提供的备品备件或易损件必须保证设备两年期稳定运行需要，如数量不足，供方需免费提供相应的数量以保证设备两年期运行。</w:t>
      </w:r>
    </w:p>
    <w:p>
      <w:pPr>
        <w:spacing w:line="300" w:lineRule="auto"/>
        <w:ind w:left="178" w:hanging="177" w:hangingChars="74"/>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 xml:space="preserve">    </w:t>
      </w:r>
      <w:bookmarkStart w:id="197" w:name="_Toc3877"/>
      <w:bookmarkStart w:id="198" w:name="_Toc7665"/>
      <w:r>
        <w:rPr>
          <w:rFonts w:hint="eastAsia" w:cs="仿宋_GB2312" w:asciiTheme="minorEastAsia" w:hAnsiTheme="minorEastAsia" w:eastAsiaTheme="minorEastAsia"/>
          <w:color w:val="000000"/>
        </w:rPr>
        <w:t>2. 供方应负的经济责任：</w:t>
      </w:r>
      <w:bookmarkEnd w:id="197"/>
      <w:bookmarkEnd w:id="198"/>
    </w:p>
    <w:p>
      <w:p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⑴ 质保期内，合同标的物质量不符合本合同规定时，如</w:t>
      </w:r>
      <w:r>
        <w:rPr>
          <w:rFonts w:hint="eastAsia" w:cs="仿宋_GB2312" w:asciiTheme="minorEastAsia" w:hAnsiTheme="minorEastAsia" w:eastAsiaTheme="minorEastAsia"/>
          <w:color w:val="000000"/>
          <w:u w:val="single"/>
        </w:rPr>
        <w:t>自设备验收合格之日起一年，</w:t>
      </w:r>
      <w:r>
        <w:rPr>
          <w:rFonts w:hint="eastAsia" w:cs="仿宋_GB2312" w:asciiTheme="minorEastAsia" w:hAnsiTheme="minorEastAsia" w:eastAsiaTheme="minorEastAsia"/>
          <w:color w:val="000000"/>
        </w:rPr>
        <w:t>之内出现故障，供方负责在收到需方通知后</w:t>
      </w:r>
      <w:r>
        <w:rPr>
          <w:rFonts w:hint="eastAsia" w:cs="仿宋_GB2312" w:asciiTheme="minorEastAsia" w:hAnsiTheme="minorEastAsia" w:eastAsiaTheme="minorEastAsia"/>
          <w:color w:val="000000"/>
          <w:u w:val="single"/>
        </w:rPr>
        <w:t xml:space="preserve">　5  </w:t>
      </w:r>
      <w:r>
        <w:rPr>
          <w:rFonts w:hint="eastAsia" w:cs="仿宋_GB2312" w:asciiTheme="minorEastAsia" w:hAnsiTheme="minorEastAsia" w:eastAsiaTheme="minorEastAsia"/>
          <w:color w:val="000000"/>
        </w:rPr>
        <w:t>日内进行调换或修理（需方人为损坏或易损件的正常耗损除外），供方承担由此产生的一切费用。</w:t>
      </w:r>
    </w:p>
    <w:p>
      <w:p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(2)合同标的物品种、规格不符合本合同规定时，需方同意利用时，按质论价。不能利用的，供方应负责包修、包退、包换。</w:t>
      </w:r>
    </w:p>
    <w:p>
      <w:p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(3)非需方原因导致合同标的物交货时间不符合本合同规定时，每逾期一周，供方应按逾期交货款总值</w:t>
      </w:r>
      <w:r>
        <w:rPr>
          <w:rFonts w:hint="eastAsia" w:cs="仿宋_GB2312" w:asciiTheme="minorEastAsia" w:hAnsiTheme="minorEastAsia" w:eastAsiaTheme="minorEastAsia"/>
          <w:color w:val="000000"/>
          <w:u w:val="single"/>
        </w:rPr>
        <w:t xml:space="preserve">1 </w:t>
      </w:r>
      <w:r>
        <w:rPr>
          <w:rFonts w:hint="eastAsia" w:cs="仿宋_GB2312" w:asciiTheme="minorEastAsia" w:hAnsiTheme="minorEastAsia" w:eastAsiaTheme="minorEastAsia"/>
          <w:color w:val="000000"/>
        </w:rPr>
        <w:t>%计算向需方支付逾期交货的违约金，不足一周按一周计算；超过3周不足4周供方应付给需方</w:t>
      </w:r>
      <w:r>
        <w:rPr>
          <w:rFonts w:hint="eastAsia" w:cs="仿宋_GB2312" w:asciiTheme="minorEastAsia" w:hAnsiTheme="minorEastAsia" w:eastAsiaTheme="minorEastAsia"/>
          <w:color w:val="000000"/>
          <w:u w:val="single"/>
        </w:rPr>
        <w:t xml:space="preserve">10 </w:t>
      </w:r>
      <w:r>
        <w:rPr>
          <w:rFonts w:hint="eastAsia" w:cs="仿宋_GB2312" w:asciiTheme="minorEastAsia" w:hAnsiTheme="minorEastAsia" w:eastAsiaTheme="minorEastAsia"/>
          <w:color w:val="000000"/>
        </w:rPr>
        <w:t>%的迟交违约金，由需方在付款时扣除。</w:t>
      </w:r>
    </w:p>
    <w:p>
      <w:p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4）供方未按合同规定的合同标的物数量交货时，少交的部分，需方如果需要，应照数补交。需方如果不需要，可以拒收。由于拒收所造成的损失，由供方承担。如需方有证据证明供方不能继续履行或供方明确表明不能继续履行的，或延期交货超过</w:t>
      </w:r>
      <w:r>
        <w:rPr>
          <w:rFonts w:hint="eastAsia" w:cs="仿宋_GB2312" w:asciiTheme="minorEastAsia" w:hAnsiTheme="minorEastAsia" w:eastAsiaTheme="minorEastAsia"/>
          <w:color w:val="000000"/>
          <w:u w:val="single"/>
        </w:rPr>
        <w:t>28</w:t>
      </w:r>
      <w:r>
        <w:rPr>
          <w:rFonts w:hint="eastAsia" w:cs="仿宋_GB2312" w:asciiTheme="minorEastAsia" w:hAnsiTheme="minorEastAsia" w:eastAsiaTheme="minorEastAsia"/>
          <w:color w:val="000000"/>
        </w:rPr>
        <w:t>天，则供方应按延期或不能交货款总值的</w:t>
      </w:r>
      <w:r>
        <w:rPr>
          <w:rFonts w:hint="eastAsia" w:cs="仿宋_GB2312" w:asciiTheme="minorEastAsia" w:hAnsiTheme="minorEastAsia" w:eastAsiaTheme="minorEastAsia"/>
          <w:color w:val="000000"/>
          <w:u w:val="single"/>
        </w:rPr>
        <w:t>20%</w:t>
      </w:r>
      <w:r>
        <w:rPr>
          <w:rFonts w:hint="eastAsia" w:cs="仿宋_GB2312" w:asciiTheme="minorEastAsia" w:hAnsiTheme="minorEastAsia" w:eastAsiaTheme="minorEastAsia"/>
          <w:color w:val="000000"/>
        </w:rPr>
        <w:t>向需方支付违约金，且需方有权无条件解除合同。</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(5)供方所提供的合同标的物在使用前经需方检验不合格，供方除承担全部赔偿责任外，并承担由此造成的经济损失。</w:t>
      </w:r>
    </w:p>
    <w:p>
      <w:pPr>
        <w:widowControl/>
        <w:shd w:val="clear" w:color="auto" w:fill="FFFFFF"/>
        <w:tabs>
          <w:tab w:val="left" w:pos="540"/>
          <w:tab w:val="left" w:pos="720"/>
        </w:tabs>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 xml:space="preserve">    </w:t>
      </w:r>
      <w:bookmarkStart w:id="199" w:name="_Toc23619"/>
      <w:bookmarkStart w:id="200" w:name="_Toc8156"/>
      <w:r>
        <w:rPr>
          <w:rFonts w:hint="eastAsia" w:cs="仿宋_GB2312" w:asciiTheme="minorEastAsia" w:hAnsiTheme="minorEastAsia" w:eastAsiaTheme="minorEastAsia"/>
          <w:color w:val="000000"/>
        </w:rPr>
        <w:t>3. 需方应负的经济责任：</w:t>
      </w:r>
      <w:bookmarkEnd w:id="199"/>
      <w:bookmarkEnd w:id="200"/>
    </w:p>
    <w:p>
      <w:pPr>
        <w:widowControl/>
        <w:numPr>
          <w:ilvl w:val="0"/>
          <w:numId w:val="8"/>
        </w:numPr>
        <w:shd w:val="clear" w:color="auto" w:fill="FFFFFF"/>
        <w:tabs>
          <w:tab w:val="left" w:pos="540"/>
          <w:tab w:val="left" w:pos="720"/>
        </w:tabs>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需方无理由拒绝接货，应承担退货造成的经济损失。</w:t>
      </w:r>
    </w:p>
    <w:p>
      <w:pPr>
        <w:widowControl/>
        <w:shd w:val="clear" w:color="auto" w:fill="FFFFFF"/>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 xml:space="preserve">（2）需方不按合同要求付款，需方对逾期付款额度按银行同期存款基准利率承担违约责任。　 </w:t>
      </w:r>
    </w:p>
    <w:p>
      <w:pPr>
        <w:widowControl/>
        <w:shd w:val="clear" w:color="auto" w:fill="FFFFFF"/>
        <w:spacing w:line="300" w:lineRule="auto"/>
        <w:ind w:firstLine="240" w:firstLineChars="100"/>
        <w:rPr>
          <w:rFonts w:cs="仿宋_GB2312" w:asciiTheme="minorEastAsia" w:hAnsiTheme="minorEastAsia" w:eastAsiaTheme="minorEastAsia"/>
          <w:color w:val="000000"/>
        </w:rPr>
      </w:pPr>
      <w:bookmarkStart w:id="201" w:name="_Toc15945"/>
      <w:bookmarkStart w:id="202" w:name="_Toc28257"/>
      <w:r>
        <w:rPr>
          <w:rFonts w:cs="仿宋_GB2312" w:asciiTheme="minorEastAsia" w:hAnsiTheme="minorEastAsia" w:eastAsiaTheme="minorEastAsia"/>
          <w:color w:val="000000"/>
        </w:rPr>
        <w:t>4.</w:t>
      </w:r>
      <w:r>
        <w:rPr>
          <w:rFonts w:hint="eastAsia" w:cs="仿宋_GB2312" w:asciiTheme="minorEastAsia" w:hAnsiTheme="minorEastAsia" w:eastAsiaTheme="minorEastAsia"/>
          <w:color w:val="000000"/>
        </w:rPr>
        <w:t>供方及时提供增值税专用发票</w:t>
      </w:r>
      <w:r>
        <w:rPr>
          <w:rFonts w:cs="仿宋_GB2312" w:asciiTheme="minorEastAsia" w:hAnsiTheme="minorEastAsia" w:eastAsiaTheme="minorEastAsia"/>
          <w:color w:val="000000"/>
        </w:rPr>
        <w:t>,</w:t>
      </w:r>
      <w:r>
        <w:rPr>
          <w:rFonts w:hint="eastAsia" w:cs="仿宋_GB2312" w:asciiTheme="minorEastAsia" w:hAnsiTheme="minorEastAsia" w:eastAsiaTheme="minorEastAsia"/>
          <w:color w:val="000000"/>
        </w:rPr>
        <w:t>还应遵守如下条款：</w:t>
      </w:r>
      <w:bookmarkEnd w:id="201"/>
      <w:bookmarkEnd w:id="202"/>
    </w:p>
    <w:p>
      <w:pPr>
        <w:spacing w:line="300" w:lineRule="auto"/>
        <w:ind w:firstLine="480" w:firstLineChars="200"/>
        <w:rPr>
          <w:rFonts w:cs="仿宋_GB2312" w:asciiTheme="minorEastAsia" w:hAnsiTheme="minorEastAsia" w:eastAsiaTheme="minorEastAsia"/>
          <w:color w:val="000000"/>
        </w:rPr>
      </w:pPr>
      <w:r>
        <w:rPr>
          <w:rFonts w:cs="仿宋_GB2312" w:asciiTheme="minorEastAsia" w:hAnsiTheme="minorEastAsia" w:eastAsiaTheme="minorEastAsia"/>
          <w:color w:val="000000"/>
        </w:rPr>
        <w:t>(1)</w:t>
      </w:r>
      <w:r>
        <w:rPr>
          <w:rFonts w:hint="eastAsia" w:cs="仿宋_GB2312" w:asciiTheme="minorEastAsia" w:hAnsiTheme="minorEastAsia" w:eastAsiaTheme="minorEastAsia"/>
          <w:color w:val="000000"/>
        </w:rPr>
        <w:t>供方提供增值税专用发票必须办理发票交接手续，无需方经办人员签认，视为供方未提供增值税专用发票，发生增值税专用发票丢失，由供方承担责任。</w:t>
      </w:r>
    </w:p>
    <w:p>
      <w:pPr>
        <w:spacing w:line="300" w:lineRule="auto"/>
        <w:ind w:firstLine="480" w:firstLineChars="200"/>
        <w:rPr>
          <w:rFonts w:cs="仿宋_GB2312" w:asciiTheme="minorEastAsia" w:hAnsiTheme="minorEastAsia" w:eastAsiaTheme="minorEastAsia"/>
          <w:color w:val="000000"/>
        </w:rPr>
      </w:pPr>
      <w:r>
        <w:rPr>
          <w:rFonts w:cs="仿宋_GB2312" w:asciiTheme="minorEastAsia" w:hAnsiTheme="minorEastAsia" w:eastAsiaTheme="minorEastAsia"/>
          <w:color w:val="000000"/>
        </w:rPr>
        <w:t>(2)</w:t>
      </w:r>
      <w:r>
        <w:rPr>
          <w:rFonts w:hint="eastAsia" w:cs="仿宋_GB2312" w:asciiTheme="minorEastAsia" w:hAnsiTheme="minorEastAsia" w:eastAsiaTheme="minorEastAsia"/>
          <w:color w:val="000000"/>
        </w:rPr>
        <w:t>因供方迟延送达、开具错误等原因导致其提供的增值税专用发票没有通过认证，造成需方不能抵扣的，需方有权拒绝接收。</w:t>
      </w:r>
    </w:p>
    <w:p>
      <w:pPr>
        <w:spacing w:line="300" w:lineRule="auto"/>
        <w:ind w:firstLine="480" w:firstLineChars="200"/>
        <w:rPr>
          <w:rFonts w:cs="仿宋_GB2312" w:asciiTheme="minorEastAsia" w:hAnsiTheme="minorEastAsia" w:eastAsiaTheme="minorEastAsia"/>
          <w:color w:val="000000"/>
        </w:rPr>
      </w:pPr>
      <w:r>
        <w:rPr>
          <w:rFonts w:cs="仿宋_GB2312" w:asciiTheme="minorEastAsia" w:hAnsiTheme="minorEastAsia" w:eastAsiaTheme="minorEastAsia"/>
          <w:color w:val="000000"/>
        </w:rPr>
        <w:t>(3)</w:t>
      </w:r>
      <w:r>
        <w:rPr>
          <w:rFonts w:hint="eastAsia" w:cs="仿宋_GB2312" w:asciiTheme="minorEastAsia" w:hAnsiTheme="minorEastAsia" w:eastAsiaTheme="minorEastAsia"/>
          <w:color w:val="000000"/>
        </w:rPr>
        <w:t>供方未按合同约定开具增值税专用发票或实际开具的增值税专用发票票面税率低于合同中约定税率的，供方除应向需方支付无法抵扣部分的税款金额外，供方还应向需方支付合同总价</w:t>
      </w:r>
      <w:r>
        <w:rPr>
          <w:rFonts w:cs="仿宋_GB2312" w:asciiTheme="minorEastAsia" w:hAnsiTheme="minorEastAsia" w:eastAsiaTheme="minorEastAsia"/>
          <w:color w:val="000000"/>
          <w:u w:val="single"/>
        </w:rPr>
        <w:t>5%</w:t>
      </w:r>
      <w:r>
        <w:rPr>
          <w:rFonts w:hint="eastAsia" w:cs="仿宋_GB2312" w:asciiTheme="minorEastAsia" w:hAnsiTheme="minorEastAsia" w:eastAsiaTheme="minorEastAsia"/>
          <w:color w:val="000000"/>
        </w:rPr>
        <w:t>的违约金，违约金不足以弥补需方损失的，供方应予赔偿，需方有权终止合同。</w:t>
      </w:r>
    </w:p>
    <w:p>
      <w:pPr>
        <w:spacing w:line="300" w:lineRule="auto"/>
        <w:ind w:firstLine="480" w:firstLineChars="200"/>
        <w:rPr>
          <w:rFonts w:cs="仿宋_GB2312" w:asciiTheme="minorEastAsia" w:hAnsiTheme="minorEastAsia" w:eastAsiaTheme="minorEastAsia"/>
          <w:color w:val="000000"/>
        </w:rPr>
      </w:pPr>
      <w:r>
        <w:rPr>
          <w:rFonts w:cs="仿宋_GB2312" w:asciiTheme="minorEastAsia" w:hAnsiTheme="minorEastAsia" w:eastAsiaTheme="minorEastAsia"/>
          <w:color w:val="000000"/>
        </w:rPr>
        <w:t>(4)</w:t>
      </w:r>
      <w:r>
        <w:rPr>
          <w:rFonts w:hint="eastAsia" w:cs="仿宋_GB2312" w:asciiTheme="minorEastAsia" w:hAnsiTheme="minorEastAsia" w:eastAsiaTheme="minorEastAsia"/>
          <w:color w:val="000000"/>
        </w:rPr>
        <w:t>供方开具虚假、作废（由于财务人员误操作而引起的除外）等无效发票或者违反国家法律法规开具、提供发票的，供方应自行承担相应法律责任，并应向需方支付合同总价</w:t>
      </w:r>
      <w:r>
        <w:rPr>
          <w:rFonts w:cs="仿宋_GB2312" w:asciiTheme="minorEastAsia" w:hAnsiTheme="minorEastAsia" w:eastAsiaTheme="minorEastAsia"/>
          <w:color w:val="000000"/>
          <w:u w:val="single"/>
        </w:rPr>
        <w:t xml:space="preserve">5% </w:t>
      </w:r>
      <w:r>
        <w:rPr>
          <w:rFonts w:hint="eastAsia" w:cs="仿宋_GB2312" w:asciiTheme="minorEastAsia" w:hAnsiTheme="minorEastAsia" w:eastAsiaTheme="minorEastAsia"/>
          <w:color w:val="000000"/>
        </w:rPr>
        <w:t>的违约金；需方有权扣除供方全部履约保证金，以上违约金或履约保证金不足以弥补需方损失的，供方应予赔偿；供方重新开具的发票仍与合同约定不符的，供方除按本项前述约定承担责任外，需方拒绝接收；供方无法开具发票的，供方除按本项前述约定承担责任外，供方应退还需方已付款项，赔偿由此给需方造成的全部损失，需方有权终止合同。</w:t>
      </w:r>
    </w:p>
    <w:p>
      <w:pPr>
        <w:spacing w:line="300" w:lineRule="auto"/>
        <w:ind w:firstLine="480" w:firstLineChars="200"/>
        <w:rPr>
          <w:rFonts w:cs="仿宋_GB2312" w:asciiTheme="minorEastAsia" w:hAnsiTheme="minorEastAsia" w:eastAsiaTheme="minorEastAsia"/>
          <w:color w:val="000000"/>
        </w:rPr>
      </w:pPr>
      <w:r>
        <w:rPr>
          <w:rFonts w:cs="仿宋_GB2312" w:asciiTheme="minorEastAsia" w:hAnsiTheme="minorEastAsia" w:eastAsiaTheme="minorEastAsia"/>
          <w:color w:val="000000"/>
        </w:rPr>
        <w:t>(5)</w:t>
      </w:r>
      <w:r>
        <w:rPr>
          <w:rFonts w:hint="eastAsia" w:cs="仿宋_GB2312" w:asciiTheme="minorEastAsia" w:hAnsiTheme="minorEastAsia" w:eastAsiaTheme="minorEastAsia"/>
          <w:color w:val="000000"/>
        </w:rPr>
        <w:t>供方账户必须是合同约定的在主管国税机关备案的账户，若账户变更应及时通知需方，并签订合同变更或补充合同；如供方随意改变账户，需方将拒付货款，由此引起的延期付款责任及相关的损失由供方承担。</w:t>
      </w:r>
    </w:p>
    <w:p>
      <w:pPr>
        <w:spacing w:line="300" w:lineRule="auto"/>
        <w:ind w:firstLine="480" w:firstLineChars="200"/>
        <w:rPr>
          <w:rFonts w:cs="仿宋_GB2312" w:asciiTheme="minorEastAsia" w:hAnsiTheme="minorEastAsia" w:eastAsiaTheme="minorEastAsia"/>
          <w:color w:val="000000"/>
        </w:rPr>
      </w:pPr>
      <w:r>
        <w:rPr>
          <w:rFonts w:cs="仿宋_GB2312" w:asciiTheme="minorEastAsia" w:hAnsiTheme="minorEastAsia" w:eastAsiaTheme="minorEastAsia"/>
          <w:color w:val="000000"/>
        </w:rPr>
        <w:t>(6)</w:t>
      </w:r>
      <w:r>
        <w:rPr>
          <w:rFonts w:hint="eastAsia" w:cs="仿宋_GB2312" w:asciiTheme="minorEastAsia" w:hAnsiTheme="minorEastAsia" w:eastAsiaTheme="minorEastAsia"/>
          <w:color w:val="000000"/>
        </w:rPr>
        <w:t>因供方自身纳税人身份、纳税方式变化带来的适用增值税税率的变化，导致需方产生的额外负担应由供方承担。</w:t>
      </w:r>
    </w:p>
    <w:p>
      <w:pPr>
        <w:spacing w:line="300" w:lineRule="auto"/>
        <w:ind w:firstLine="480" w:firstLineChars="200"/>
        <w:rPr>
          <w:rFonts w:cs="仿宋_GB2312" w:asciiTheme="minorEastAsia" w:hAnsiTheme="minorEastAsia" w:eastAsiaTheme="minorEastAsia"/>
          <w:color w:val="000000"/>
        </w:rPr>
      </w:pPr>
      <w:r>
        <w:rPr>
          <w:rFonts w:cs="仿宋_GB2312" w:asciiTheme="minorEastAsia" w:hAnsiTheme="minorEastAsia" w:eastAsiaTheme="minorEastAsia"/>
          <w:color w:val="000000"/>
        </w:rPr>
        <w:t>(7)</w:t>
      </w:r>
      <w:r>
        <w:rPr>
          <w:rFonts w:hint="eastAsia" w:cs="仿宋_GB2312" w:asciiTheme="minorEastAsia" w:hAnsiTheme="minorEastAsia" w:eastAsiaTheme="minorEastAsia"/>
          <w:color w:val="000000"/>
        </w:rPr>
        <w:t>如果需方丢失增值税专用发票联和抵扣联，供方应向需方提供专用发票记账联复印件及主管税务机关出具的《丢失增值税专用发票已报税证明单》，并配合需方提供资料。</w:t>
      </w:r>
    </w:p>
    <w:p>
      <w:pPr>
        <w:spacing w:line="300" w:lineRule="auto"/>
        <w:ind w:firstLine="470" w:firstLineChars="196"/>
        <w:rPr>
          <w:rFonts w:cs="仿宋_GB2312" w:asciiTheme="minorEastAsia" w:hAnsiTheme="minorEastAsia" w:eastAsiaTheme="minorEastAsia"/>
          <w:color w:val="000000"/>
        </w:rPr>
      </w:pPr>
      <w:r>
        <w:rPr>
          <w:rFonts w:cs="仿宋_GB2312" w:asciiTheme="minorEastAsia" w:hAnsiTheme="minorEastAsia" w:eastAsiaTheme="minorEastAsia"/>
          <w:color w:val="000000"/>
        </w:rPr>
        <w:t>(8)</w:t>
      </w:r>
      <w:r>
        <w:rPr>
          <w:rFonts w:hint="eastAsia" w:cs="仿宋_GB2312" w:asciiTheme="minorEastAsia" w:hAnsiTheme="minorEastAsia" w:eastAsiaTheme="minorEastAsia"/>
          <w:color w:val="000000"/>
        </w:rPr>
        <w:t>供方提供的增值税专用发票没有通过认证，造成需方不能抵扣的（由于财务人员误操作而引起的除外），供方应向需方支付未通过认证发票中载明的税款金额作为违约金。违约金不足以弥补需方损失的，供方还应予以赔偿。供方未按需方要求支付违约金的，需方有权终止合同。</w:t>
      </w:r>
    </w:p>
    <w:p>
      <w:pPr>
        <w:pStyle w:val="7"/>
      </w:pPr>
      <w:bookmarkStart w:id="203" w:name="_Toc18856"/>
      <w:bookmarkStart w:id="204" w:name="_Toc11534"/>
      <w:bookmarkStart w:id="205" w:name="_Toc23168"/>
      <w:bookmarkStart w:id="206" w:name="_Toc12583"/>
      <w:bookmarkStart w:id="207" w:name="_Toc12498"/>
      <w:r>
        <w:rPr>
          <w:rFonts w:hint="eastAsia"/>
        </w:rPr>
        <w:t>第八章  不可抗力</w:t>
      </w:r>
      <w:bookmarkEnd w:id="203"/>
      <w:bookmarkEnd w:id="204"/>
      <w:bookmarkEnd w:id="205"/>
      <w:bookmarkEnd w:id="206"/>
      <w:bookmarkEnd w:id="207"/>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1.不可抗力是指不能预见、不能避免并不能克服的客观情况，包括但不仅限于战争、暴乱、骚动、地震、洪水、台风、海啸等不可抗力事件。因不可抗力不能履行合同的，根据不可抗力的影响，部分或全部免职责任，但法律另有规定的除外。</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2.供方延迟履行后发生不可抗力的，要负延迟履行违约责任。</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3. 当事人一方因不可抗力不能履行合同的，应当及时通知对方，以减轻可能给对方造成的损失，并应当在合理期限内提供证明。</w:t>
      </w:r>
    </w:p>
    <w:p>
      <w:pPr>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4.因不可抗力致使无法实现合同目的的，双方均有权提出解除合同，经双方协商一致，合同解除。</w:t>
      </w:r>
    </w:p>
    <w:p>
      <w:pPr>
        <w:pStyle w:val="7"/>
      </w:pPr>
      <w:bookmarkStart w:id="208" w:name="_Toc28617"/>
      <w:bookmarkStart w:id="209" w:name="_Toc15271"/>
      <w:bookmarkStart w:id="210" w:name="_Toc32274"/>
      <w:bookmarkStart w:id="211" w:name="_Toc3987"/>
      <w:bookmarkStart w:id="212" w:name="_Toc13257"/>
      <w:r>
        <w:rPr>
          <w:rFonts w:hint="eastAsia"/>
        </w:rPr>
        <w:t>第九章  争议解决</w:t>
      </w:r>
      <w:bookmarkEnd w:id="208"/>
      <w:bookmarkEnd w:id="209"/>
      <w:bookmarkEnd w:id="210"/>
      <w:bookmarkEnd w:id="211"/>
      <w:bookmarkEnd w:id="212"/>
    </w:p>
    <w:p>
      <w:p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１.凡因执行本合同发生的或与本合同有关的任何争议，双方应友好协商解决。</w:t>
      </w:r>
    </w:p>
    <w:p>
      <w:pPr>
        <w:spacing w:line="300" w:lineRule="auto"/>
        <w:ind w:firstLine="480" w:firstLineChars="200"/>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２.若不能达成一致，任何一方可向需方注册地人民法院起诉。</w:t>
      </w:r>
    </w:p>
    <w:p>
      <w:pPr>
        <w:pStyle w:val="7"/>
      </w:pPr>
      <w:bookmarkStart w:id="213" w:name="_Toc30792"/>
      <w:bookmarkStart w:id="214" w:name="_Toc18826"/>
      <w:bookmarkStart w:id="215" w:name="_Toc19594"/>
      <w:bookmarkStart w:id="216" w:name="_Toc14060"/>
      <w:bookmarkStart w:id="217" w:name="_Toc4035"/>
      <w:r>
        <w:rPr>
          <w:rFonts w:hint="eastAsia"/>
        </w:rPr>
        <w:t>第十章  其它</w:t>
      </w:r>
      <w:bookmarkEnd w:id="213"/>
      <w:bookmarkEnd w:id="214"/>
      <w:bookmarkEnd w:id="215"/>
      <w:bookmarkEnd w:id="216"/>
      <w:bookmarkEnd w:id="217"/>
    </w:p>
    <w:p>
      <w:pPr>
        <w:tabs>
          <w:tab w:val="left" w:pos="540"/>
        </w:tabs>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本合同共陆份，需方执肆份，供方执两份，自双方法定代表人或其授权签约人签字盖章之日起生效。</w:t>
      </w:r>
      <w:r>
        <w:rPr>
          <w:rFonts w:hint="eastAsia" w:cs="黑体" w:asciiTheme="minorEastAsia" w:hAnsiTheme="minorEastAsia" w:eastAsiaTheme="minorEastAsia"/>
          <w:color w:val="000000"/>
        </w:rPr>
        <w:t>　　</w:t>
      </w:r>
    </w:p>
    <w:p>
      <w:pPr>
        <w:tabs>
          <w:tab w:val="left" w:pos="540"/>
        </w:tabs>
        <w:spacing w:line="300" w:lineRule="auto"/>
        <w:ind w:firstLine="470" w:firstLineChars="196"/>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双方签字盖章：</w:t>
      </w:r>
    </w:p>
    <w:tbl>
      <w:tblPr>
        <w:tblStyle w:val="32"/>
        <w:tblpPr w:leftFromText="180" w:rightFromText="180" w:vertAnchor="text" w:horzAnchor="page" w:tblpX="1397" w:tblpY="78"/>
        <w:tblOverlap w:val="never"/>
        <w:tblW w:w="9264" w:type="dxa"/>
        <w:tblInd w:w="0" w:type="dxa"/>
        <w:tblLayout w:type="fixed"/>
        <w:tblCellMar>
          <w:top w:w="0" w:type="dxa"/>
          <w:left w:w="108" w:type="dxa"/>
          <w:bottom w:w="0" w:type="dxa"/>
          <w:right w:w="108" w:type="dxa"/>
        </w:tblCellMar>
      </w:tblPr>
      <w:tblGrid>
        <w:gridCol w:w="4581"/>
        <w:gridCol w:w="4683"/>
      </w:tblGrid>
      <w:tr>
        <w:tblPrEx>
          <w:tblCellMar>
            <w:top w:w="0" w:type="dxa"/>
            <w:left w:w="108" w:type="dxa"/>
            <w:bottom w:w="0" w:type="dxa"/>
            <w:right w:w="108" w:type="dxa"/>
          </w:tblCellMar>
        </w:tblPrEx>
        <w:trPr>
          <w:trHeight w:val="95" w:hRule="atLeast"/>
        </w:trPr>
        <w:tc>
          <w:tcPr>
            <w:tcW w:w="4581" w:type="dxa"/>
            <w:tcBorders>
              <w:top w:val="single" w:color="auto" w:sz="4" w:space="0"/>
              <w:left w:val="single" w:color="auto" w:sz="4" w:space="0"/>
              <w:bottom w:val="single" w:color="auto" w:sz="4" w:space="0"/>
              <w:right w:val="single" w:color="auto" w:sz="4" w:space="0"/>
            </w:tcBorders>
          </w:tcPr>
          <w:p>
            <w:pPr>
              <w:spacing w:line="300" w:lineRule="auto"/>
              <w:jc w:val="center"/>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需  方</w:t>
            </w:r>
          </w:p>
          <w:p>
            <w:pPr>
              <w:spacing w:line="300" w:lineRule="auto"/>
              <w:ind w:left="1200" w:hanging="1200" w:hangingChars="500"/>
              <w:rPr>
                <w:rFonts w:cs="仿宋_GB2312" w:asciiTheme="minorEastAsia" w:hAnsiTheme="minorEastAsia" w:eastAsiaTheme="minorEastAsia"/>
                <w:color w:val="000000"/>
                <w:sz w:val="18"/>
                <w:szCs w:val="18"/>
              </w:rPr>
            </w:pPr>
            <w:r>
              <w:rPr>
                <w:rFonts w:hint="eastAsia" w:cs="仿宋_GB2312" w:asciiTheme="minorEastAsia" w:hAnsiTheme="minorEastAsia" w:eastAsiaTheme="minorEastAsia"/>
                <w:color w:val="000000"/>
              </w:rPr>
              <w:t>单位名称：</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法定代表人：</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委托代理人：</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电    话：</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传    真：</w:t>
            </w:r>
          </w:p>
          <w:p>
            <w:pPr>
              <w:spacing w:line="300" w:lineRule="auto"/>
              <w:rPr>
                <w:rFonts w:asciiTheme="minorEastAsia" w:hAnsiTheme="minorEastAsia" w:eastAsiaTheme="minorEastAsia"/>
                <w:color w:val="000000"/>
              </w:rPr>
            </w:pPr>
            <w:r>
              <w:rPr>
                <w:rFonts w:hint="eastAsia" w:cs="仿宋_GB2312" w:asciiTheme="minorEastAsia" w:hAnsiTheme="minorEastAsia" w:eastAsiaTheme="minorEastAsia"/>
                <w:color w:val="000000"/>
              </w:rPr>
              <w:t>开户行：</w:t>
            </w:r>
          </w:p>
          <w:p>
            <w:pPr>
              <w:spacing w:line="300" w:lineRule="auto"/>
              <w:rPr>
                <w:rFonts w:asciiTheme="minorEastAsia" w:hAnsiTheme="minorEastAsia" w:eastAsiaTheme="minorEastAsia"/>
                <w:color w:val="000000"/>
              </w:rPr>
            </w:pPr>
            <w:r>
              <w:rPr>
                <w:rFonts w:hint="eastAsia" w:cs="仿宋_GB2312" w:asciiTheme="minorEastAsia" w:hAnsiTheme="minorEastAsia" w:eastAsiaTheme="minorEastAsia"/>
                <w:color w:val="000000"/>
              </w:rPr>
              <w:t>账 号：</w:t>
            </w:r>
          </w:p>
          <w:p>
            <w:pPr>
              <w:spacing w:line="300" w:lineRule="auto"/>
              <w:rPr>
                <w:rFonts w:cs="仿宋_GB2312" w:asciiTheme="minorEastAsia" w:hAnsiTheme="minorEastAsia" w:eastAsiaTheme="minorEastAsia"/>
                <w:color w:val="000000"/>
              </w:rPr>
            </w:pPr>
          </w:p>
        </w:tc>
        <w:tc>
          <w:tcPr>
            <w:tcW w:w="4683" w:type="dxa"/>
            <w:tcBorders>
              <w:top w:val="single" w:color="auto" w:sz="4" w:space="0"/>
              <w:left w:val="single" w:color="auto" w:sz="4" w:space="0"/>
              <w:bottom w:val="single" w:color="auto" w:sz="4" w:space="0"/>
              <w:right w:val="single" w:color="auto" w:sz="4" w:space="0"/>
            </w:tcBorders>
          </w:tcPr>
          <w:p>
            <w:pPr>
              <w:spacing w:line="300" w:lineRule="auto"/>
              <w:jc w:val="center"/>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供  方</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单位名称：有限公司</w:t>
            </w:r>
          </w:p>
          <w:p>
            <w:pPr>
              <w:spacing w:line="300" w:lineRule="auto"/>
              <w:rPr>
                <w:rFonts w:cs="仿宋_GB2312" w:asciiTheme="minorEastAsia" w:hAnsiTheme="minorEastAsia" w:eastAsiaTheme="minorEastAsia"/>
                <w:color w:val="000000"/>
              </w:rPr>
            </w:pP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法定代表人：</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委托代理人：</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电    话：</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传    真：</w:t>
            </w:r>
          </w:p>
          <w:p>
            <w:pPr>
              <w:spacing w:line="300" w:lineRule="auto"/>
              <w:rPr>
                <w:rFonts w:cs="仿宋_GB2312" w:asciiTheme="minorEastAsia" w:hAnsiTheme="minorEastAsia" w:eastAsiaTheme="minorEastAsia"/>
                <w:color w:val="000000"/>
              </w:rPr>
            </w:pPr>
            <w:r>
              <w:rPr>
                <w:rFonts w:hint="eastAsia" w:cs="仿宋_GB2312" w:asciiTheme="minorEastAsia" w:hAnsiTheme="minorEastAsia" w:eastAsiaTheme="minorEastAsia"/>
                <w:color w:val="000000"/>
              </w:rPr>
              <w:t>开户行及账号：</w:t>
            </w:r>
          </w:p>
        </w:tc>
      </w:tr>
    </w:tbl>
    <w:p>
      <w:pPr>
        <w:tabs>
          <w:tab w:val="left" w:pos="540"/>
        </w:tabs>
        <w:spacing w:line="300" w:lineRule="auto"/>
        <w:ind w:firstLine="480" w:firstLineChars="200"/>
        <w:rPr>
          <w:rFonts w:cs="仿宋_GB2312" w:asciiTheme="minorEastAsia" w:hAnsiTheme="minorEastAsia" w:eastAsiaTheme="minorEastAsia"/>
          <w:color w:val="000000"/>
        </w:rPr>
      </w:pPr>
    </w:p>
    <w:p/>
    <w:p>
      <w:pPr>
        <w:spacing w:line="300" w:lineRule="auto"/>
        <w:rPr>
          <w:rFonts w:asciiTheme="minorEastAsia" w:hAnsiTheme="minorEastAsia" w:eastAsiaTheme="minorEastAsia"/>
          <w:b/>
          <w:bCs/>
          <w:color w:val="000000" w:themeColor="text1"/>
          <w14:textFill>
            <w14:solidFill>
              <w14:schemeClr w14:val="tx1"/>
            </w14:solidFill>
          </w14:textFill>
        </w:rPr>
      </w:pPr>
    </w:p>
    <w:p>
      <w:pPr>
        <w:pStyle w:val="2"/>
        <w:rPr>
          <w:rFonts w:asciiTheme="minorEastAsia" w:hAnsiTheme="minorEastAsia" w:eastAsiaTheme="minorEastAsia"/>
          <w:b/>
          <w:bCs/>
          <w:color w:val="000000" w:themeColor="text1"/>
          <w14:textFill>
            <w14:solidFill>
              <w14:schemeClr w14:val="tx1"/>
            </w14:solidFill>
          </w14:textFill>
        </w:rPr>
      </w:pPr>
    </w:p>
    <w:p>
      <w:pPr>
        <w:pStyle w:val="3"/>
        <w:rPr>
          <w:rFonts w:asciiTheme="minorEastAsia" w:hAnsiTheme="minorEastAsia" w:eastAsiaTheme="minorEastAsia"/>
          <w:b/>
          <w:bCs/>
          <w:color w:val="000000" w:themeColor="text1"/>
          <w14:textFill>
            <w14:solidFill>
              <w14:schemeClr w14:val="tx1"/>
            </w14:solidFill>
          </w14:textFill>
        </w:rPr>
      </w:pPr>
    </w:p>
    <w:p>
      <w:pPr>
        <w:pStyle w:val="3"/>
        <w:rPr>
          <w:rFonts w:asciiTheme="minorEastAsia" w:hAnsiTheme="minorEastAsia" w:eastAsiaTheme="minorEastAsia"/>
          <w:b/>
          <w:bCs/>
          <w:color w:val="000000" w:themeColor="text1"/>
          <w14:textFill>
            <w14:solidFill>
              <w14:schemeClr w14:val="tx1"/>
            </w14:solidFill>
          </w14:textFill>
        </w:rPr>
      </w:pPr>
    </w:p>
    <w:p>
      <w:pPr>
        <w:pStyle w:val="3"/>
        <w:rPr>
          <w:rFonts w:asciiTheme="minorEastAsia" w:hAnsiTheme="minorEastAsia" w:eastAsiaTheme="minorEastAsia"/>
          <w:b/>
          <w:bCs/>
          <w:color w:val="000000" w:themeColor="text1"/>
          <w14:textFill>
            <w14:solidFill>
              <w14:schemeClr w14:val="tx1"/>
            </w14:solidFill>
          </w14:textFill>
        </w:rPr>
      </w:pPr>
    </w:p>
    <w:p>
      <w:pPr>
        <w:pStyle w:val="3"/>
        <w:rPr>
          <w:rFonts w:asciiTheme="minorEastAsia" w:hAnsiTheme="minorEastAsia" w:eastAsiaTheme="minorEastAsia"/>
          <w:b/>
          <w:bCs/>
          <w:color w:val="000000" w:themeColor="text1"/>
          <w14:textFill>
            <w14:solidFill>
              <w14:schemeClr w14:val="tx1"/>
            </w14:solidFill>
          </w14:textFill>
        </w:rPr>
      </w:pPr>
    </w:p>
    <w:p>
      <w:pPr>
        <w:pStyle w:val="3"/>
        <w:rPr>
          <w:rFonts w:asciiTheme="minorEastAsia" w:hAnsiTheme="minorEastAsia" w:eastAsiaTheme="minorEastAsia"/>
          <w:b/>
          <w:bCs/>
          <w:color w:val="000000" w:themeColor="text1"/>
          <w14:textFill>
            <w14:solidFill>
              <w14:schemeClr w14:val="tx1"/>
            </w14:solidFill>
          </w14:textFill>
        </w:rPr>
      </w:pPr>
    </w:p>
    <w:p>
      <w:pPr>
        <w:pStyle w:val="3"/>
        <w:rPr>
          <w:rFonts w:asciiTheme="minorEastAsia" w:hAnsiTheme="minorEastAsia" w:eastAsiaTheme="minorEastAsia"/>
          <w:b/>
          <w:bCs/>
          <w:color w:val="000000" w:themeColor="text1"/>
          <w14:textFill>
            <w14:solidFill>
              <w14:schemeClr w14:val="tx1"/>
            </w14:solidFill>
          </w14:textFill>
        </w:rPr>
      </w:pPr>
    </w:p>
    <w:p>
      <w:pPr>
        <w:pStyle w:val="3"/>
        <w:rPr>
          <w:rFonts w:asciiTheme="minorEastAsia" w:hAnsiTheme="minorEastAsia" w:eastAsiaTheme="minorEastAsia"/>
          <w:b/>
          <w:bCs/>
          <w:color w:val="000000" w:themeColor="text1"/>
          <w14:textFill>
            <w14:solidFill>
              <w14:schemeClr w14:val="tx1"/>
            </w14:solidFill>
          </w14:textFill>
        </w:rPr>
      </w:pPr>
    </w:p>
    <w:p>
      <w:pPr>
        <w:pStyle w:val="3"/>
        <w:rPr>
          <w:rFonts w:asciiTheme="minorEastAsia" w:hAnsiTheme="minorEastAsia" w:eastAsiaTheme="minorEastAsia"/>
          <w:b/>
          <w:bCs/>
          <w:color w:val="000000" w:themeColor="text1"/>
          <w14:textFill>
            <w14:solidFill>
              <w14:schemeClr w14:val="tx1"/>
            </w14:solidFill>
          </w14:textFill>
        </w:rPr>
      </w:pPr>
    </w:p>
    <w:p>
      <w:pPr>
        <w:pStyle w:val="3"/>
        <w:rPr>
          <w:rFonts w:asciiTheme="minorEastAsia" w:hAnsiTheme="minorEastAsia" w:eastAsiaTheme="minorEastAsia"/>
          <w:b/>
          <w:bCs/>
          <w:color w:val="000000" w:themeColor="text1"/>
          <w14:textFill>
            <w14:solidFill>
              <w14:schemeClr w14:val="tx1"/>
            </w14:solidFill>
          </w14:textFill>
        </w:rPr>
      </w:pPr>
    </w:p>
    <w:p>
      <w:pPr>
        <w:pStyle w:val="3"/>
        <w:rPr>
          <w:rFonts w:asciiTheme="minorEastAsia" w:hAnsiTheme="minorEastAsia" w:eastAsiaTheme="minorEastAsia"/>
          <w:b/>
          <w:bCs/>
          <w:color w:val="000000" w:themeColor="text1"/>
          <w14:textFill>
            <w14:solidFill>
              <w14:schemeClr w14:val="tx1"/>
            </w14:solidFill>
          </w14:textFill>
        </w:rPr>
      </w:pPr>
    </w:p>
    <w:p>
      <w:pPr>
        <w:pStyle w:val="3"/>
        <w:rPr>
          <w:rFonts w:asciiTheme="minorEastAsia" w:hAnsiTheme="minorEastAsia" w:eastAsiaTheme="minorEastAsia"/>
          <w:b/>
          <w:bCs/>
          <w:color w:val="000000" w:themeColor="text1"/>
          <w14:textFill>
            <w14:solidFill>
              <w14:schemeClr w14:val="tx1"/>
            </w14:solidFill>
          </w14:textFill>
        </w:rPr>
      </w:pPr>
    </w:p>
    <w:p>
      <w:pPr>
        <w:pStyle w:val="3"/>
        <w:rPr>
          <w:rFonts w:asciiTheme="minorEastAsia" w:hAnsiTheme="minorEastAsia" w:eastAsiaTheme="minorEastAsia"/>
          <w:b/>
          <w:bCs/>
          <w:color w:val="000000" w:themeColor="text1"/>
          <w14:textFill>
            <w14:solidFill>
              <w14:schemeClr w14:val="tx1"/>
            </w14:solidFill>
          </w14:textFill>
        </w:rPr>
      </w:pPr>
    </w:p>
    <w:p>
      <w:pPr>
        <w:pStyle w:val="4"/>
        <w:ind w:left="0"/>
      </w:pPr>
    </w:p>
    <w:p/>
    <w:p>
      <w:pPr>
        <w:pStyle w:val="4"/>
        <w:ind w:left="0"/>
        <w:jc w:val="center"/>
      </w:pPr>
      <w:bookmarkStart w:id="218" w:name="_Toc4395"/>
      <w:r>
        <w:rPr>
          <w:rFonts w:hint="eastAsia"/>
        </w:rPr>
        <w:t>第五章 投标文件格式</w:t>
      </w:r>
      <w:bookmarkEnd w:id="218"/>
    </w:p>
    <w:p>
      <w:pPr>
        <w:rPr>
          <w:rFonts w:ascii="黑体" w:eastAsia="黑体"/>
          <w:sz w:val="32"/>
          <w:szCs w:val="32"/>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44"/>
          <w:szCs w:val="44"/>
          <w14:textFill>
            <w14:solidFill>
              <w14:schemeClr w14:val="tx1"/>
            </w14:solidFill>
          </w14:textFill>
        </w:rPr>
      </w:pPr>
    </w:p>
    <w:p>
      <w:pPr>
        <w:pStyle w:val="2"/>
        <w:rPr>
          <w:rFonts w:asciiTheme="minorEastAsia" w:hAnsiTheme="minorEastAsia" w:eastAsiaTheme="minorEastAsia"/>
          <w:b/>
          <w:bCs/>
          <w:color w:val="000000" w:themeColor="text1"/>
          <w:sz w:val="44"/>
          <w:szCs w:val="44"/>
          <w14:textFill>
            <w14:solidFill>
              <w14:schemeClr w14:val="tx1"/>
            </w14:solidFill>
          </w14:textFill>
        </w:rPr>
      </w:pPr>
    </w:p>
    <w:p>
      <w:pPr>
        <w:pStyle w:val="3"/>
        <w:rPr>
          <w:rFonts w:asciiTheme="minorEastAsia" w:hAnsiTheme="minorEastAsia" w:eastAsiaTheme="minorEastAsia"/>
          <w:b/>
          <w:bCs/>
          <w:color w:val="000000" w:themeColor="text1"/>
          <w:sz w:val="44"/>
          <w:szCs w:val="44"/>
          <w14:textFill>
            <w14:solidFill>
              <w14:schemeClr w14:val="tx1"/>
            </w14:solidFill>
          </w14:textFill>
        </w:rPr>
      </w:pPr>
    </w:p>
    <w:p>
      <w:pPr>
        <w:pStyle w:val="3"/>
        <w:rPr>
          <w:rFonts w:asciiTheme="minorEastAsia" w:hAnsiTheme="minorEastAsia" w:eastAsiaTheme="minorEastAsia"/>
          <w:b/>
          <w:bCs/>
          <w:color w:val="000000" w:themeColor="text1"/>
          <w:sz w:val="44"/>
          <w:szCs w:val="44"/>
          <w14:textFill>
            <w14:solidFill>
              <w14:schemeClr w14:val="tx1"/>
            </w14:solidFill>
          </w14:textFill>
        </w:rPr>
      </w:pPr>
    </w:p>
    <w:p>
      <w:pPr>
        <w:spacing w:line="300" w:lineRule="auto"/>
        <w:jc w:val="center"/>
        <w:rPr>
          <w:rFonts w:cs="宋体" w:asciiTheme="minorEastAsia" w:hAnsiTheme="minorEastAsia" w:eastAsiaTheme="minorEastAsia"/>
          <w:b/>
          <w:bCs/>
          <w:color w:val="000000" w:themeColor="text1"/>
          <w:sz w:val="44"/>
          <w:szCs w:val="44"/>
          <w14:textFill>
            <w14:solidFill>
              <w14:schemeClr w14:val="tx1"/>
            </w14:solidFill>
          </w14:textFill>
        </w:rPr>
      </w:pPr>
      <w:r>
        <w:rPr>
          <w:rFonts w:hint="eastAsia" w:asciiTheme="minorEastAsia" w:hAnsiTheme="minorEastAsia" w:eastAsiaTheme="minorEastAsia"/>
          <w:b/>
          <w:bCs/>
          <w:color w:val="000000" w:themeColor="text1"/>
          <w:sz w:val="44"/>
          <w:szCs w:val="44"/>
          <w14:textFill>
            <w14:solidFill>
              <w14:schemeClr w14:val="tx1"/>
            </w14:solidFill>
          </w14:textFill>
        </w:rPr>
        <w:t>湖北工程职业学院供热工程（锅炉房）项目</w:t>
      </w:r>
    </w:p>
    <w:p>
      <w:pPr>
        <w:tabs>
          <w:tab w:val="left" w:pos="2999"/>
        </w:tabs>
        <w:spacing w:line="300" w:lineRule="auto"/>
        <w:jc w:val="center"/>
        <w:rPr>
          <w:rFonts w:cs="宋体" w:asciiTheme="minorEastAsia" w:hAnsiTheme="minorEastAsia" w:eastAsiaTheme="minorEastAsia"/>
          <w:b/>
          <w:bCs/>
          <w:color w:val="000000" w:themeColor="text1"/>
          <w:sz w:val="40"/>
          <w:szCs w:val="40"/>
          <w14:textFill>
            <w14:solidFill>
              <w14:schemeClr w14:val="tx1"/>
            </w14:solidFill>
          </w14:textFill>
        </w:rPr>
      </w:pPr>
      <w:r>
        <w:rPr>
          <w:rFonts w:hint="eastAsia" w:asciiTheme="minorEastAsia" w:hAnsiTheme="minorEastAsia" w:eastAsiaTheme="minorEastAsia"/>
          <w:b/>
          <w:bCs/>
          <w:color w:val="000000" w:themeColor="text1"/>
          <w:sz w:val="44"/>
          <w:szCs w:val="44"/>
          <w:u w:val="single"/>
          <w14:textFill>
            <w14:solidFill>
              <w14:schemeClr w14:val="tx1"/>
            </w14:solidFill>
          </w14:textFill>
        </w:rPr>
        <w:t>锅炉附属设备</w:t>
      </w:r>
      <w:r>
        <w:rPr>
          <w:rFonts w:hint="eastAsia" w:asciiTheme="minorEastAsia" w:hAnsiTheme="minorEastAsia" w:eastAsiaTheme="minorEastAsia"/>
          <w:b/>
          <w:bCs/>
          <w:color w:val="000000" w:themeColor="text1"/>
          <w:sz w:val="44"/>
          <w:szCs w:val="44"/>
          <w:u w:val="single"/>
          <w:lang w:val="en-US" w:eastAsia="zh-CN"/>
          <w14:textFill>
            <w14:solidFill>
              <w14:schemeClr w14:val="tx1"/>
            </w14:solidFill>
          </w14:textFill>
        </w:rPr>
        <w:t>二次</w:t>
      </w:r>
      <w:r>
        <w:rPr>
          <w:rFonts w:hint="eastAsia" w:asciiTheme="minorEastAsia" w:hAnsiTheme="minorEastAsia" w:eastAsiaTheme="minorEastAsia"/>
          <w:b/>
          <w:bCs/>
          <w:color w:val="000000" w:themeColor="text1"/>
          <w:sz w:val="44"/>
          <w:szCs w:val="44"/>
          <w14:textFill>
            <w14:solidFill>
              <w14:schemeClr w14:val="tx1"/>
            </w14:solidFill>
          </w14:textFill>
        </w:rPr>
        <w:t>采购</w:t>
      </w:r>
      <w:r>
        <w:rPr>
          <w:rFonts w:hint="eastAsia" w:cs="宋体" w:asciiTheme="minorEastAsia" w:hAnsiTheme="minorEastAsia" w:eastAsiaTheme="minorEastAsia"/>
          <w:b/>
          <w:bCs/>
          <w:color w:val="000000" w:themeColor="text1"/>
          <w:sz w:val="40"/>
          <w:szCs w:val="40"/>
          <w14:textFill>
            <w14:solidFill>
              <w14:schemeClr w14:val="tx1"/>
            </w14:solidFill>
          </w14:textFill>
        </w:rPr>
        <w:br w:type="textWrapping"/>
      </w:r>
    </w:p>
    <w:p>
      <w:pPr>
        <w:pBdr>
          <w:top w:val="none" w:color="000000" w:sz="0" w:space="3"/>
          <w:left w:val="none" w:color="000000" w:sz="0" w:space="3"/>
          <w:bottom w:val="none" w:color="000000" w:sz="0" w:space="3"/>
          <w:right w:val="none" w:color="000000" w:sz="0" w:space="3"/>
        </w:pBdr>
        <w:spacing w:before="2" w:line="300" w:lineRule="auto"/>
        <w:rPr>
          <w:rFonts w:cs="宋体" w:asciiTheme="minorEastAsia" w:hAnsiTheme="minorEastAsia" w:eastAsiaTheme="minorEastAsia"/>
          <w:b/>
          <w:bCs/>
          <w:color w:val="000000" w:themeColor="text1"/>
          <w:sz w:val="40"/>
          <w:szCs w:val="40"/>
          <w14:textFill>
            <w14:solidFill>
              <w14:schemeClr w14:val="tx1"/>
            </w14:solidFill>
          </w14:textFill>
        </w:rPr>
      </w:pPr>
    </w:p>
    <w:p>
      <w:pPr>
        <w:pBdr>
          <w:top w:val="none" w:color="000000" w:sz="0" w:space="3"/>
          <w:left w:val="none" w:color="000000" w:sz="0" w:space="3"/>
          <w:bottom w:val="none" w:color="000000" w:sz="0" w:space="3"/>
          <w:right w:val="none" w:color="000000" w:sz="0" w:space="3"/>
        </w:pBdr>
        <w:tabs>
          <w:tab w:val="left" w:pos="662"/>
          <w:tab w:val="left" w:pos="1322"/>
          <w:tab w:val="left" w:pos="1982"/>
        </w:tabs>
        <w:spacing w:line="300" w:lineRule="auto"/>
        <w:ind w:left="2"/>
        <w:jc w:val="center"/>
        <w:rPr>
          <w:rFonts w:cs="宋体" w:asciiTheme="minorEastAsia" w:hAnsiTheme="minorEastAsia" w:eastAsiaTheme="minorEastAsia"/>
          <w:b/>
          <w:bCs/>
          <w:color w:val="000000" w:themeColor="text1"/>
          <w:sz w:val="40"/>
          <w:szCs w:val="40"/>
          <w14:textFill>
            <w14:solidFill>
              <w14:schemeClr w14:val="tx1"/>
            </w14:solidFill>
          </w14:textFill>
        </w:rPr>
      </w:pPr>
      <w:bookmarkStart w:id="219" w:name="_Toc22711"/>
      <w:bookmarkStart w:id="220" w:name="_Toc21083"/>
      <w:bookmarkStart w:id="221" w:name="_Toc24077"/>
      <w:bookmarkStart w:id="222" w:name="_Toc6704"/>
      <w:bookmarkStart w:id="223" w:name="_Toc16025"/>
      <w:bookmarkStart w:id="224" w:name="_Toc21775"/>
      <w:r>
        <w:rPr>
          <w:rFonts w:cs="宋体" w:asciiTheme="minorEastAsia" w:hAnsiTheme="minorEastAsia" w:eastAsiaTheme="minorEastAsia"/>
          <w:b/>
          <w:bCs/>
          <w:color w:val="000000" w:themeColor="text1"/>
          <w:sz w:val="40"/>
          <w:szCs w:val="40"/>
          <w14:textFill>
            <w14:solidFill>
              <w14:schemeClr w14:val="tx1"/>
            </w14:solidFill>
          </w14:textFill>
        </w:rPr>
        <w:t>投</w:t>
      </w:r>
      <w:r>
        <w:rPr>
          <w:rFonts w:cs="宋体" w:asciiTheme="minorEastAsia" w:hAnsiTheme="minorEastAsia" w:eastAsiaTheme="minorEastAsia"/>
          <w:b/>
          <w:bCs/>
          <w:color w:val="000000" w:themeColor="text1"/>
          <w:sz w:val="40"/>
          <w:szCs w:val="40"/>
          <w14:textFill>
            <w14:solidFill>
              <w14:schemeClr w14:val="tx1"/>
            </w14:solidFill>
          </w14:textFill>
        </w:rPr>
        <w:tab/>
      </w:r>
      <w:r>
        <w:rPr>
          <w:rFonts w:cs="宋体" w:asciiTheme="minorEastAsia" w:hAnsiTheme="minorEastAsia" w:eastAsiaTheme="minorEastAsia"/>
          <w:b/>
          <w:bCs/>
          <w:color w:val="000000" w:themeColor="text1"/>
          <w:sz w:val="40"/>
          <w:szCs w:val="40"/>
          <w14:textFill>
            <w14:solidFill>
              <w14:schemeClr w14:val="tx1"/>
            </w14:solidFill>
          </w14:textFill>
        </w:rPr>
        <w:t>标</w:t>
      </w:r>
      <w:r>
        <w:rPr>
          <w:rFonts w:cs="宋体" w:asciiTheme="minorEastAsia" w:hAnsiTheme="minorEastAsia" w:eastAsiaTheme="minorEastAsia"/>
          <w:b/>
          <w:bCs/>
          <w:color w:val="000000" w:themeColor="text1"/>
          <w:sz w:val="40"/>
          <w:szCs w:val="40"/>
          <w14:textFill>
            <w14:solidFill>
              <w14:schemeClr w14:val="tx1"/>
            </w14:solidFill>
          </w14:textFill>
        </w:rPr>
        <w:tab/>
      </w:r>
      <w:r>
        <w:rPr>
          <w:rFonts w:cs="宋体" w:asciiTheme="minorEastAsia" w:hAnsiTheme="minorEastAsia" w:eastAsiaTheme="minorEastAsia"/>
          <w:b/>
          <w:bCs/>
          <w:color w:val="000000" w:themeColor="text1"/>
          <w:sz w:val="40"/>
          <w:szCs w:val="40"/>
          <w14:textFill>
            <w14:solidFill>
              <w14:schemeClr w14:val="tx1"/>
            </w14:solidFill>
          </w14:textFill>
        </w:rPr>
        <w:t>文</w:t>
      </w:r>
      <w:r>
        <w:rPr>
          <w:rFonts w:cs="宋体" w:asciiTheme="minorEastAsia" w:hAnsiTheme="minorEastAsia" w:eastAsiaTheme="minorEastAsia"/>
          <w:b/>
          <w:bCs/>
          <w:color w:val="000000" w:themeColor="text1"/>
          <w:sz w:val="40"/>
          <w:szCs w:val="40"/>
          <w14:textFill>
            <w14:solidFill>
              <w14:schemeClr w14:val="tx1"/>
            </w14:solidFill>
          </w14:textFill>
        </w:rPr>
        <w:tab/>
      </w:r>
      <w:r>
        <w:rPr>
          <w:rFonts w:cs="宋体" w:asciiTheme="minorEastAsia" w:hAnsiTheme="minorEastAsia" w:eastAsiaTheme="minorEastAsia"/>
          <w:b/>
          <w:bCs/>
          <w:color w:val="000000" w:themeColor="text1"/>
          <w:sz w:val="40"/>
          <w:szCs w:val="40"/>
          <w14:textFill>
            <w14:solidFill>
              <w14:schemeClr w14:val="tx1"/>
            </w14:solidFill>
          </w14:textFill>
        </w:rPr>
        <w:t>件</w:t>
      </w:r>
      <w:bookmarkEnd w:id="219"/>
      <w:bookmarkEnd w:id="220"/>
      <w:bookmarkEnd w:id="221"/>
      <w:bookmarkEnd w:id="222"/>
      <w:bookmarkEnd w:id="223"/>
      <w:bookmarkEnd w:id="224"/>
    </w:p>
    <w:p>
      <w:pPr>
        <w:pBdr>
          <w:top w:val="none" w:color="000000" w:sz="0" w:space="3"/>
          <w:left w:val="none" w:color="000000" w:sz="0" w:space="3"/>
          <w:bottom w:val="none" w:color="000000" w:sz="0" w:space="3"/>
          <w:right w:val="none" w:color="000000" w:sz="0" w:space="3"/>
        </w:pBdr>
        <w:tabs>
          <w:tab w:val="left" w:pos="662"/>
          <w:tab w:val="left" w:pos="1322"/>
          <w:tab w:val="left" w:pos="1982"/>
        </w:tabs>
        <w:spacing w:line="300" w:lineRule="auto"/>
        <w:ind w:left="2"/>
        <w:jc w:val="center"/>
        <w:rPr>
          <w:rFonts w:cs="宋体" w:asciiTheme="minorEastAsia" w:hAnsiTheme="minorEastAsia" w:eastAsiaTheme="minorEastAsia"/>
          <w:b/>
          <w:bCs/>
          <w:color w:val="000000" w:themeColor="text1"/>
          <w:sz w:val="40"/>
          <w:szCs w:val="40"/>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b/>
          <w:bCs/>
          <w:color w:val="000000" w:themeColor="text1"/>
          <w:sz w:val="20"/>
          <w:szCs w:val="20"/>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b/>
          <w:bCs/>
          <w:color w:val="000000" w:themeColor="text1"/>
          <w:sz w:val="20"/>
          <w:szCs w:val="20"/>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b/>
          <w:bCs/>
          <w:color w:val="000000" w:themeColor="text1"/>
          <w:sz w:val="20"/>
          <w:szCs w:val="20"/>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b/>
          <w:bCs/>
          <w:color w:val="000000" w:themeColor="text1"/>
          <w:sz w:val="20"/>
          <w:szCs w:val="20"/>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b/>
          <w:bCs/>
          <w:color w:val="000000" w:themeColor="text1"/>
          <w:sz w:val="20"/>
          <w:szCs w:val="20"/>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b/>
          <w:bCs/>
          <w:color w:val="000000" w:themeColor="text1"/>
          <w:sz w:val="20"/>
          <w:szCs w:val="20"/>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b/>
          <w:bCs/>
          <w:color w:val="000000" w:themeColor="text1"/>
          <w:sz w:val="20"/>
          <w:szCs w:val="20"/>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b/>
          <w:bCs/>
          <w:color w:val="000000" w:themeColor="text1"/>
          <w:sz w:val="20"/>
          <w:szCs w:val="20"/>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b/>
          <w:bCs/>
          <w:color w:val="000000" w:themeColor="text1"/>
          <w:sz w:val="20"/>
          <w:szCs w:val="20"/>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b/>
          <w:bCs/>
          <w:color w:val="000000" w:themeColor="text1"/>
          <w:sz w:val="20"/>
          <w:szCs w:val="20"/>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before="11" w:line="300" w:lineRule="auto"/>
        <w:rPr>
          <w:rFonts w:cs="宋体" w:asciiTheme="minorEastAsia" w:hAnsiTheme="minorEastAsia" w:eastAsiaTheme="minorEastAsia"/>
          <w:b/>
          <w:bCs/>
          <w:color w:val="000000" w:themeColor="text1"/>
          <w:sz w:val="28"/>
          <w:szCs w:val="28"/>
          <w14:textFill>
            <w14:solidFill>
              <w14:schemeClr w14:val="tx1"/>
            </w14:solidFill>
          </w14:textFill>
        </w:rPr>
      </w:pPr>
    </w:p>
    <w:p>
      <w:pPr>
        <w:spacing w:line="300" w:lineRule="auto"/>
        <w:ind w:firstLine="840" w:firstLineChars="300"/>
        <w:rPr>
          <w:rFonts w:ascii="宋体" w:hAnsi="宋体" w:cs="宋体"/>
          <w:sz w:val="28"/>
          <w:szCs w:val="28"/>
          <w:u w:val="single"/>
        </w:rPr>
      </w:pPr>
      <w:r>
        <w:rPr>
          <w:rFonts w:hint="eastAsia" w:ascii="宋体" w:hAnsi="宋体" w:cs="宋体"/>
          <w:sz w:val="28"/>
          <w:szCs w:val="28"/>
        </w:rPr>
        <w:t>招标编号：</w:t>
      </w:r>
      <w:r>
        <w:rPr>
          <w:rFonts w:hint="eastAsia" w:ascii="宋体" w:hAnsi="宋体" w:cs="宋体"/>
          <w:sz w:val="28"/>
          <w:szCs w:val="28"/>
          <w:u w:val="single"/>
        </w:rPr>
        <w:t xml:space="preserve"> CFJS-2021-001-SB</w:t>
      </w:r>
    </w:p>
    <w:p>
      <w:pPr>
        <w:pStyle w:val="2"/>
      </w:pPr>
    </w:p>
    <w:p>
      <w:pPr>
        <w:tabs>
          <w:tab w:val="left" w:pos="6942"/>
          <w:tab w:val="left" w:pos="7535"/>
        </w:tabs>
        <w:spacing w:line="357" w:lineRule="auto"/>
        <w:ind w:right="1" w:firstLine="840" w:firstLineChars="300"/>
        <w:jc w:val="both"/>
        <w:rPr>
          <w:rFonts w:ascii="宋体" w:hAnsi="宋体" w:cs="宋体"/>
          <w:sz w:val="28"/>
          <w:szCs w:val="28"/>
        </w:rPr>
      </w:pPr>
      <w:r>
        <w:rPr>
          <w:rFonts w:hint="eastAsia" w:ascii="宋体" w:hAnsi="宋体" w:cs="宋体"/>
          <w:sz w:val="28"/>
          <w:szCs w:val="28"/>
        </w:rPr>
        <w:t>投 标 人：______  ______________（盖单位章）</w:t>
      </w:r>
    </w:p>
    <w:p>
      <w:pPr>
        <w:pStyle w:val="2"/>
      </w:pPr>
    </w:p>
    <w:p>
      <w:pPr>
        <w:tabs>
          <w:tab w:val="left" w:pos="6942"/>
          <w:tab w:val="left" w:pos="7535"/>
        </w:tabs>
        <w:spacing w:line="357" w:lineRule="auto"/>
        <w:ind w:right="1" w:firstLine="840" w:firstLineChars="300"/>
        <w:jc w:val="both"/>
        <w:rPr>
          <w:rFonts w:ascii="宋体" w:hAnsi="宋体" w:cs="宋体"/>
          <w:spacing w:val="-1"/>
          <w:sz w:val="28"/>
          <w:szCs w:val="28"/>
        </w:rPr>
      </w:pPr>
      <w:r>
        <w:rPr>
          <w:rFonts w:hint="eastAsia" w:ascii="宋体" w:hAnsi="宋体" w:cs="宋体"/>
          <w:sz w:val="28"/>
          <w:szCs w:val="28"/>
        </w:rPr>
        <w:t>法定代表人（单位负责人）或其委托代理人：______</w:t>
      </w:r>
      <w:r>
        <w:rPr>
          <w:rFonts w:hint="eastAsia" w:ascii="宋体" w:hAnsi="宋体" w:cs="宋体"/>
          <w:spacing w:val="-1"/>
          <w:sz w:val="28"/>
          <w:szCs w:val="28"/>
        </w:rPr>
        <w:t>（签字）</w:t>
      </w:r>
    </w:p>
    <w:p>
      <w:pPr>
        <w:pStyle w:val="2"/>
      </w:pPr>
    </w:p>
    <w:p>
      <w:pPr>
        <w:tabs>
          <w:tab w:val="left" w:pos="3611"/>
          <w:tab w:val="left" w:pos="4626"/>
          <w:tab w:val="left" w:pos="5642"/>
        </w:tabs>
        <w:spacing w:before="15"/>
        <w:ind w:firstLine="2520" w:firstLineChars="900"/>
        <w:jc w:val="both"/>
        <w:rPr>
          <w:rFonts w:ascii="宋体" w:hAnsi="宋体" w:cs="宋体"/>
          <w:sz w:val="28"/>
          <w:szCs w:val="28"/>
        </w:rPr>
      </w:pPr>
      <w:r>
        <w:rPr>
          <w:rFonts w:hint="eastAsia" w:ascii="宋体" w:hAnsi="宋体" w:cs="宋体"/>
          <w:sz w:val="28"/>
          <w:szCs w:val="28"/>
        </w:rPr>
        <w:t>______年___月___日</w:t>
      </w:r>
    </w:p>
    <w:p>
      <w:pPr>
        <w:jc w:val="center"/>
        <w:rPr>
          <w:rFonts w:ascii="Times New Roman" w:hAnsi="Times New Roman"/>
          <w:sz w:val="28"/>
        </w:rPr>
        <w:sectPr>
          <w:footerReference r:id="rId9" w:type="default"/>
          <w:pgSz w:w="12240" w:h="15840"/>
          <w:pgMar w:top="1587" w:right="1417" w:bottom="1587" w:left="1417" w:header="850" w:footer="567" w:gutter="0"/>
          <w:cols w:space="0" w:num="1"/>
        </w:sectPr>
      </w:pPr>
    </w:p>
    <w:p>
      <w:pPr>
        <w:spacing w:line="300" w:lineRule="auto"/>
        <w:ind w:left="22"/>
        <w:jc w:val="center"/>
        <w:rPr>
          <w:rFonts w:cs="宋体" w:asciiTheme="minorEastAsia" w:hAnsiTheme="minorEastAsia" w:eastAsiaTheme="minorEastAsia"/>
          <w:b/>
          <w:bCs/>
          <w:color w:val="000000" w:themeColor="text1"/>
          <w:sz w:val="30"/>
          <w:szCs w:val="30"/>
          <w14:textFill>
            <w14:solidFill>
              <w14:schemeClr w14:val="tx1"/>
            </w14:solidFill>
          </w14:textFill>
        </w:rPr>
      </w:pPr>
      <w:bookmarkStart w:id="225" w:name="_Toc42237255"/>
      <w:bookmarkStart w:id="226" w:name="_Toc709"/>
      <w:bookmarkStart w:id="227" w:name="_Toc29532"/>
      <w:bookmarkStart w:id="228" w:name="_Toc19675"/>
      <w:bookmarkStart w:id="229" w:name="_Toc19338"/>
      <w:bookmarkStart w:id="230" w:name="_Toc7061"/>
      <w:bookmarkStart w:id="231" w:name="_Toc19536"/>
      <w:bookmarkStart w:id="232" w:name="_Toc40207130"/>
      <w:bookmarkStart w:id="233" w:name="_Toc31318"/>
      <w:bookmarkStart w:id="234" w:name="_Toc9076"/>
      <w:r>
        <w:rPr>
          <w:rFonts w:cs="宋体" w:asciiTheme="minorEastAsia" w:hAnsiTheme="minorEastAsia" w:eastAsiaTheme="minorEastAsia"/>
          <w:b/>
          <w:bCs/>
          <w:color w:val="000000" w:themeColor="text1"/>
          <w:spacing w:val="2"/>
          <w:sz w:val="30"/>
          <w:szCs w:val="30"/>
          <w14:textFill>
            <w14:solidFill>
              <w14:schemeClr w14:val="tx1"/>
            </w14:solidFill>
          </w14:textFill>
        </w:rPr>
        <w:t>目录</w:t>
      </w:r>
      <w:bookmarkEnd w:id="225"/>
      <w:bookmarkEnd w:id="226"/>
      <w:bookmarkEnd w:id="227"/>
      <w:bookmarkEnd w:id="228"/>
      <w:bookmarkEnd w:id="229"/>
      <w:bookmarkEnd w:id="230"/>
      <w:bookmarkEnd w:id="231"/>
      <w:bookmarkEnd w:id="232"/>
      <w:bookmarkEnd w:id="233"/>
      <w:bookmarkEnd w:id="234"/>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color w:val="000000" w:themeColor="text1"/>
          <w14:textFill>
            <w14:solidFill>
              <w14:schemeClr w14:val="tx1"/>
            </w14:solidFill>
          </w14:textFill>
        </w:rPr>
      </w:pP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color w:val="000000" w:themeColor="text1"/>
          <w14:textFill>
            <w14:solidFill>
              <w14:schemeClr w14:val="tx1"/>
            </w14:solidFill>
          </w14:textFill>
        </w:rPr>
      </w:pPr>
      <w:bookmarkStart w:id="235" w:name="_Toc24167"/>
      <w:bookmarkStart w:id="236" w:name="_Toc7148"/>
      <w:bookmarkStart w:id="237" w:name="_Toc22480"/>
      <w:bookmarkStart w:id="238" w:name="_Toc9298"/>
      <w:bookmarkStart w:id="239" w:name="_Toc1206"/>
      <w:r>
        <w:rPr>
          <w:rFonts w:hint="eastAsia" w:cs="宋体" w:asciiTheme="minorEastAsia" w:hAnsiTheme="minorEastAsia" w:eastAsiaTheme="minorEastAsia"/>
          <w:color w:val="000000" w:themeColor="text1"/>
          <w14:textFill>
            <w14:solidFill>
              <w14:schemeClr w14:val="tx1"/>
            </w14:solidFill>
          </w14:textFill>
        </w:rPr>
        <w:t>一、</w:t>
      </w:r>
      <w:r>
        <w:rPr>
          <w:rFonts w:cs="宋体" w:asciiTheme="minorEastAsia" w:hAnsiTheme="minorEastAsia" w:eastAsiaTheme="minorEastAsia"/>
          <w:color w:val="000000" w:themeColor="text1"/>
          <w14:textFill>
            <w14:solidFill>
              <w14:schemeClr w14:val="tx1"/>
            </w14:solidFill>
          </w14:textFill>
        </w:rPr>
        <w:t>投标函</w:t>
      </w:r>
      <w:bookmarkEnd w:id="235"/>
      <w:bookmarkEnd w:id="236"/>
      <w:bookmarkEnd w:id="237"/>
      <w:bookmarkEnd w:id="238"/>
      <w:bookmarkEnd w:id="239"/>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color w:val="000000" w:themeColor="text1"/>
          <w14:textFill>
            <w14:solidFill>
              <w14:schemeClr w14:val="tx1"/>
            </w14:solidFill>
          </w14:textFill>
        </w:rPr>
      </w:pPr>
      <w:bookmarkStart w:id="240" w:name="_Toc16053"/>
      <w:bookmarkStart w:id="241" w:name="_Toc21465"/>
      <w:bookmarkStart w:id="242" w:name="_Toc609"/>
      <w:bookmarkStart w:id="243" w:name="_Toc10914"/>
      <w:bookmarkStart w:id="244" w:name="_Toc19911"/>
      <w:r>
        <w:rPr>
          <w:rFonts w:hint="eastAsia" w:cs="宋体" w:asciiTheme="minorEastAsia" w:hAnsiTheme="minorEastAsia" w:eastAsiaTheme="minorEastAsia"/>
          <w:color w:val="000000" w:themeColor="text1"/>
          <w14:textFill>
            <w14:solidFill>
              <w14:schemeClr w14:val="tx1"/>
            </w14:solidFill>
          </w14:textFill>
        </w:rPr>
        <w:t>二、</w:t>
      </w:r>
      <w:r>
        <w:rPr>
          <w:rFonts w:cs="宋体" w:asciiTheme="minorEastAsia" w:hAnsiTheme="minorEastAsia" w:eastAsiaTheme="minorEastAsia"/>
          <w:color w:val="000000" w:themeColor="text1"/>
          <w14:textFill>
            <w14:solidFill>
              <w14:schemeClr w14:val="tx1"/>
            </w14:solidFill>
          </w14:textFill>
        </w:rPr>
        <w:t>法定代表人（单位负责人）身份证明</w:t>
      </w:r>
      <w:r>
        <w:rPr>
          <w:rFonts w:hint="eastAsia" w:asciiTheme="minorEastAsia" w:hAnsiTheme="minorEastAsia" w:eastAsiaTheme="minorEastAsia"/>
          <w:color w:val="000000" w:themeColor="text1"/>
          <w14:textFill>
            <w14:solidFill>
              <w14:schemeClr w14:val="tx1"/>
            </w14:solidFill>
          </w14:textFill>
        </w:rPr>
        <w:t>（适用于无委托代理人的情况）</w:t>
      </w:r>
      <w:bookmarkEnd w:id="240"/>
      <w:bookmarkEnd w:id="241"/>
      <w:bookmarkEnd w:id="242"/>
      <w:bookmarkEnd w:id="243"/>
      <w:bookmarkEnd w:id="244"/>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color w:val="000000" w:themeColor="text1"/>
          <w14:textFill>
            <w14:solidFill>
              <w14:schemeClr w14:val="tx1"/>
            </w14:solidFill>
          </w14:textFill>
        </w:rPr>
      </w:pPr>
      <w:bookmarkStart w:id="245" w:name="_Toc21557"/>
      <w:bookmarkStart w:id="246" w:name="_Toc27195"/>
      <w:bookmarkStart w:id="247" w:name="_Toc15855"/>
      <w:bookmarkStart w:id="248" w:name="_Toc9297"/>
      <w:bookmarkStart w:id="249" w:name="_Toc29353"/>
      <w:r>
        <w:rPr>
          <w:rFonts w:hint="eastAsia" w:cs="宋体" w:asciiTheme="minorEastAsia" w:hAnsiTheme="minorEastAsia" w:eastAsiaTheme="minorEastAsia"/>
          <w:color w:val="000000" w:themeColor="text1"/>
          <w14:textFill>
            <w14:solidFill>
              <w14:schemeClr w14:val="tx1"/>
            </w14:solidFill>
          </w14:textFill>
        </w:rPr>
        <w:t>二、</w:t>
      </w:r>
      <w:r>
        <w:rPr>
          <w:rFonts w:cs="宋体" w:asciiTheme="minorEastAsia" w:hAnsiTheme="minorEastAsia" w:eastAsiaTheme="minorEastAsia"/>
          <w:color w:val="000000" w:themeColor="text1"/>
          <w14:textFill>
            <w14:solidFill>
              <w14:schemeClr w14:val="tx1"/>
            </w14:solidFill>
          </w14:textFill>
        </w:rPr>
        <w:t>授权委托书</w:t>
      </w:r>
      <w:r>
        <w:rPr>
          <w:rFonts w:hint="eastAsia" w:cs="宋体" w:asciiTheme="minorEastAsia" w:hAnsiTheme="minorEastAsia" w:eastAsiaTheme="minorEastAsia"/>
          <w:color w:val="000000" w:themeColor="text1"/>
          <w14:textFill>
            <w14:solidFill>
              <w14:schemeClr w14:val="tx1"/>
            </w14:solidFill>
          </w14:textFill>
        </w:rPr>
        <w:t>（适用于有委托代理人的情况）</w:t>
      </w:r>
      <w:bookmarkEnd w:id="245"/>
      <w:bookmarkEnd w:id="246"/>
      <w:bookmarkEnd w:id="247"/>
      <w:bookmarkEnd w:id="248"/>
      <w:bookmarkEnd w:id="249"/>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color w:val="000000" w:themeColor="text1"/>
          <w14:textFill>
            <w14:solidFill>
              <w14:schemeClr w14:val="tx1"/>
            </w14:solidFill>
          </w14:textFill>
        </w:rPr>
      </w:pPr>
      <w:bookmarkStart w:id="250" w:name="_Toc20494"/>
      <w:bookmarkStart w:id="251" w:name="_Toc17573"/>
      <w:bookmarkStart w:id="252" w:name="_Toc11271"/>
      <w:bookmarkStart w:id="253" w:name="_Toc27810"/>
      <w:bookmarkStart w:id="254" w:name="_Toc15955"/>
      <w:r>
        <w:rPr>
          <w:rFonts w:hint="eastAsia" w:cs="宋体" w:asciiTheme="minorEastAsia" w:hAnsiTheme="minorEastAsia" w:eastAsiaTheme="minorEastAsia"/>
          <w:color w:val="000000" w:themeColor="text1"/>
          <w14:textFill>
            <w14:solidFill>
              <w14:schemeClr w14:val="tx1"/>
            </w14:solidFill>
          </w14:textFill>
        </w:rPr>
        <w:t>三、联合体协议书</w:t>
      </w:r>
      <w:bookmarkEnd w:id="250"/>
      <w:bookmarkEnd w:id="251"/>
      <w:bookmarkEnd w:id="252"/>
      <w:bookmarkEnd w:id="253"/>
      <w:bookmarkEnd w:id="254"/>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color w:val="000000" w:themeColor="text1"/>
          <w14:textFill>
            <w14:solidFill>
              <w14:schemeClr w14:val="tx1"/>
            </w14:solidFill>
          </w14:textFill>
        </w:rPr>
      </w:pPr>
      <w:bookmarkStart w:id="255" w:name="_Toc26317"/>
      <w:bookmarkStart w:id="256" w:name="_Toc8102"/>
      <w:bookmarkStart w:id="257" w:name="_Toc22941"/>
      <w:bookmarkStart w:id="258" w:name="_Toc21404"/>
      <w:bookmarkStart w:id="259" w:name="_Toc20514"/>
      <w:r>
        <w:rPr>
          <w:rFonts w:hint="eastAsia" w:cs="宋体" w:asciiTheme="minorEastAsia" w:hAnsiTheme="minorEastAsia" w:eastAsiaTheme="minorEastAsia"/>
          <w:color w:val="000000" w:themeColor="text1"/>
          <w14:textFill>
            <w14:solidFill>
              <w14:schemeClr w14:val="tx1"/>
            </w14:solidFill>
          </w14:textFill>
        </w:rPr>
        <w:t>四、投标保证金</w:t>
      </w:r>
      <w:bookmarkEnd w:id="255"/>
      <w:bookmarkEnd w:id="256"/>
      <w:bookmarkEnd w:id="257"/>
      <w:bookmarkEnd w:id="258"/>
      <w:bookmarkEnd w:id="259"/>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color w:val="000000" w:themeColor="text1"/>
          <w14:textFill>
            <w14:solidFill>
              <w14:schemeClr w14:val="tx1"/>
            </w14:solidFill>
          </w14:textFill>
        </w:rPr>
      </w:pPr>
      <w:bookmarkStart w:id="260" w:name="_Toc17198"/>
      <w:bookmarkStart w:id="261" w:name="_Toc15486"/>
      <w:bookmarkStart w:id="262" w:name="_Toc393"/>
      <w:bookmarkStart w:id="263" w:name="_Toc1562"/>
      <w:bookmarkStart w:id="264" w:name="_Toc28719"/>
      <w:r>
        <w:rPr>
          <w:rFonts w:hint="eastAsia" w:cs="宋体" w:asciiTheme="minorEastAsia" w:hAnsiTheme="minorEastAsia" w:eastAsiaTheme="minorEastAsia"/>
          <w:color w:val="000000" w:themeColor="text1"/>
          <w14:textFill>
            <w14:solidFill>
              <w14:schemeClr w14:val="tx1"/>
            </w14:solidFill>
          </w14:textFill>
        </w:rPr>
        <w:t>五、商务和技术偏离表</w:t>
      </w:r>
      <w:bookmarkEnd w:id="260"/>
      <w:bookmarkEnd w:id="261"/>
      <w:bookmarkEnd w:id="262"/>
      <w:bookmarkEnd w:id="263"/>
      <w:bookmarkEnd w:id="264"/>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color w:val="000000" w:themeColor="text1"/>
          <w14:textFill>
            <w14:solidFill>
              <w14:schemeClr w14:val="tx1"/>
            </w14:solidFill>
          </w14:textFill>
        </w:rPr>
      </w:pPr>
      <w:bookmarkStart w:id="265" w:name="_Toc19036"/>
      <w:bookmarkStart w:id="266" w:name="_Toc14423"/>
      <w:bookmarkStart w:id="267" w:name="_Toc14905"/>
      <w:bookmarkStart w:id="268" w:name="_Toc13398"/>
      <w:bookmarkStart w:id="269" w:name="_Toc22706"/>
      <w:r>
        <w:rPr>
          <w:rFonts w:hint="eastAsia" w:cs="宋体" w:asciiTheme="minorEastAsia" w:hAnsiTheme="minorEastAsia" w:eastAsiaTheme="minorEastAsia"/>
          <w:color w:val="000000" w:themeColor="text1"/>
          <w14:textFill>
            <w14:solidFill>
              <w14:schemeClr w14:val="tx1"/>
            </w14:solidFill>
          </w14:textFill>
        </w:rPr>
        <w:t>六、报价文件</w:t>
      </w:r>
      <w:bookmarkEnd w:id="265"/>
      <w:bookmarkEnd w:id="266"/>
      <w:bookmarkEnd w:id="267"/>
      <w:bookmarkEnd w:id="268"/>
      <w:bookmarkEnd w:id="269"/>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color w:val="000000" w:themeColor="text1"/>
          <w14:textFill>
            <w14:solidFill>
              <w14:schemeClr w14:val="tx1"/>
            </w14:solidFill>
          </w14:textFill>
        </w:rPr>
      </w:pPr>
      <w:bookmarkStart w:id="270" w:name="_Toc8819"/>
      <w:bookmarkStart w:id="271" w:name="_Toc5215"/>
      <w:bookmarkStart w:id="272" w:name="_Toc28889"/>
      <w:bookmarkStart w:id="273" w:name="_Toc32408"/>
      <w:bookmarkStart w:id="274" w:name="_Toc16035"/>
      <w:r>
        <w:rPr>
          <w:rFonts w:hint="eastAsia" w:cs="宋体" w:asciiTheme="minorEastAsia" w:hAnsiTheme="minorEastAsia" w:eastAsiaTheme="minorEastAsia"/>
          <w:color w:val="000000" w:themeColor="text1"/>
          <w14:textFill>
            <w14:solidFill>
              <w14:schemeClr w14:val="tx1"/>
            </w14:solidFill>
          </w14:textFill>
        </w:rPr>
        <w:t>七、</w:t>
      </w:r>
      <w:r>
        <w:rPr>
          <w:rFonts w:cs="宋体" w:asciiTheme="minorEastAsia" w:hAnsiTheme="minorEastAsia" w:eastAsiaTheme="minorEastAsia"/>
          <w:color w:val="000000" w:themeColor="text1"/>
          <w14:textFill>
            <w14:solidFill>
              <w14:schemeClr w14:val="tx1"/>
            </w14:solidFill>
          </w14:textFill>
        </w:rPr>
        <w:t>资格审查资料</w:t>
      </w:r>
      <w:bookmarkEnd w:id="270"/>
      <w:bookmarkEnd w:id="271"/>
      <w:bookmarkEnd w:id="272"/>
      <w:bookmarkEnd w:id="273"/>
      <w:bookmarkEnd w:id="274"/>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color w:val="000000" w:themeColor="text1"/>
          <w14:textFill>
            <w14:solidFill>
              <w14:schemeClr w14:val="tx1"/>
            </w14:solidFill>
          </w14:textFill>
        </w:rPr>
      </w:pPr>
      <w:bookmarkStart w:id="275" w:name="_Toc29655"/>
      <w:bookmarkStart w:id="276" w:name="_Toc1693"/>
      <w:bookmarkStart w:id="277" w:name="_Toc15249"/>
      <w:bookmarkStart w:id="278" w:name="_Toc9850"/>
      <w:bookmarkStart w:id="279" w:name="_Toc17852"/>
      <w:r>
        <w:rPr>
          <w:rFonts w:hint="eastAsia" w:cs="宋体" w:asciiTheme="minorEastAsia" w:hAnsiTheme="minorEastAsia" w:eastAsiaTheme="minorEastAsia"/>
          <w:color w:val="000000" w:themeColor="text1"/>
          <w14:textFill>
            <w14:solidFill>
              <w14:schemeClr w14:val="tx1"/>
            </w14:solidFill>
          </w14:textFill>
        </w:rPr>
        <w:t>八、</w:t>
      </w:r>
      <w:bookmarkEnd w:id="275"/>
      <w:bookmarkEnd w:id="276"/>
      <w:bookmarkEnd w:id="277"/>
      <w:bookmarkEnd w:id="278"/>
      <w:bookmarkEnd w:id="279"/>
      <w:r>
        <w:rPr>
          <w:rFonts w:hint="eastAsia" w:cs="宋体" w:asciiTheme="minorEastAsia" w:hAnsiTheme="minorEastAsia" w:eastAsiaTheme="minorEastAsia"/>
          <w:color w:val="000000" w:themeColor="text1"/>
          <w14:textFill>
            <w14:solidFill>
              <w14:schemeClr w14:val="tx1"/>
            </w14:solidFill>
          </w14:textFill>
        </w:rPr>
        <w:t>售后服务</w:t>
      </w:r>
    </w:p>
    <w:p>
      <w:pPr>
        <w:pBdr>
          <w:top w:val="none" w:color="000000" w:sz="0" w:space="3"/>
          <w:left w:val="none" w:color="000000" w:sz="0" w:space="3"/>
          <w:bottom w:val="none" w:color="000000" w:sz="0" w:space="3"/>
          <w:right w:val="none" w:color="000000" w:sz="0" w:space="3"/>
        </w:pBdr>
        <w:spacing w:line="300" w:lineRule="auto"/>
        <w:rPr>
          <w:rFonts w:cs="宋体" w:asciiTheme="minorEastAsia" w:hAnsiTheme="minorEastAsia" w:eastAsiaTheme="minorEastAsia"/>
          <w:color w:val="000000" w:themeColor="text1"/>
          <w14:textFill>
            <w14:solidFill>
              <w14:schemeClr w14:val="tx1"/>
            </w14:solidFill>
          </w14:textFill>
        </w:rPr>
        <w:sectPr>
          <w:headerReference r:id="rId10" w:type="default"/>
          <w:endnotePr>
            <w:numFmt w:val="decimal"/>
          </w:endnotePr>
          <w:pgSz w:w="12240" w:h="15840"/>
          <w:pgMar w:top="1587" w:right="1417" w:bottom="1587" w:left="1417" w:header="850" w:footer="567" w:gutter="0"/>
          <w:cols w:space="0" w:num="1"/>
        </w:sectPr>
      </w:pPr>
      <w:r>
        <w:rPr>
          <w:rFonts w:hint="eastAsia" w:cs="宋体" w:asciiTheme="minorEastAsia" w:hAnsiTheme="minorEastAsia" w:eastAsiaTheme="minorEastAsia"/>
          <w:color w:val="000000" w:themeColor="text1"/>
          <w14:textFill>
            <w14:solidFill>
              <w14:schemeClr w14:val="tx1"/>
            </w14:solidFill>
          </w14:textFill>
        </w:rPr>
        <w:t>九、信誉文件要求</w:t>
      </w:r>
    </w:p>
    <w:p>
      <w:pPr>
        <w:pStyle w:val="5"/>
      </w:pPr>
      <w:bookmarkStart w:id="280" w:name="_bookmark156"/>
      <w:bookmarkEnd w:id="280"/>
      <w:bookmarkStart w:id="281" w:name="_Toc31487"/>
      <w:r>
        <w:rPr>
          <w:rFonts w:hint="eastAsia"/>
        </w:rPr>
        <w:t>一、投标函</w:t>
      </w:r>
      <w:bookmarkEnd w:id="281"/>
    </w:p>
    <w:p>
      <w:pPr>
        <w:pBdr>
          <w:top w:val="none" w:color="000000" w:sz="0" w:space="3"/>
          <w:bottom w:val="none" w:color="000000" w:sz="0" w:space="3"/>
          <w:right w:val="none" w:color="000000" w:sz="0" w:space="3"/>
        </w:pBdr>
        <w:tabs>
          <w:tab w:val="left" w:pos="1991"/>
        </w:tabs>
        <w:spacing w:line="360" w:lineRule="auto"/>
        <w:rPr>
          <w:rFonts w:ascii="宋体" w:hAnsi="宋体" w:cs="宋体"/>
        </w:rPr>
      </w:pPr>
      <w:r>
        <w:rPr>
          <w:rFonts w:hint="eastAsia" w:ascii="宋体" w:hAnsi="宋体" w:cs="宋体"/>
          <w:u w:val="single"/>
        </w:rPr>
        <w:t>黄石市城发建设有限公司</w:t>
      </w:r>
      <w:r>
        <w:rPr>
          <w:rFonts w:hint="eastAsia" w:ascii="宋体" w:hAnsi="宋体" w:cs="宋体"/>
        </w:rPr>
        <w:t>（</w:t>
      </w:r>
      <w:r>
        <w:rPr>
          <w:rFonts w:hint="eastAsia" w:ascii="宋体" w:hAnsi="宋体" w:cs="宋体"/>
          <w:spacing w:val="-3"/>
        </w:rPr>
        <w:t>采购</w:t>
      </w:r>
      <w:r>
        <w:rPr>
          <w:rFonts w:hint="eastAsia" w:ascii="宋体" w:hAnsi="宋体" w:cs="宋体"/>
        </w:rPr>
        <w:t>人</w:t>
      </w:r>
      <w:r>
        <w:rPr>
          <w:rFonts w:hint="eastAsia" w:ascii="宋体" w:hAnsi="宋体" w:cs="宋体"/>
          <w:spacing w:val="-3"/>
        </w:rPr>
        <w:t>名</w:t>
      </w:r>
      <w:r>
        <w:rPr>
          <w:rFonts w:hint="eastAsia" w:ascii="宋体" w:hAnsi="宋体" w:cs="宋体"/>
        </w:rPr>
        <w:t>称</w:t>
      </w:r>
      <w:r>
        <w:rPr>
          <w:rFonts w:hint="eastAsia" w:ascii="宋体" w:hAnsi="宋体" w:cs="宋体"/>
          <w:spacing w:val="-42"/>
        </w:rPr>
        <w:t>）</w:t>
      </w:r>
      <w:r>
        <w:rPr>
          <w:rFonts w:hint="eastAsia" w:ascii="宋体" w:hAnsi="宋体" w:cs="宋体"/>
        </w:rPr>
        <w:t>：</w:t>
      </w:r>
    </w:p>
    <w:p>
      <w:pPr>
        <w:pBdr>
          <w:top w:val="none" w:color="000000" w:sz="0" w:space="3"/>
          <w:left w:val="none" w:color="000000" w:sz="0" w:space="3"/>
          <w:bottom w:val="none" w:color="000000" w:sz="0" w:space="3"/>
          <w:right w:val="none" w:color="000000" w:sz="0" w:space="3"/>
        </w:pBdr>
        <w:tabs>
          <w:tab w:val="left" w:pos="2412"/>
          <w:tab w:val="left" w:pos="4375"/>
          <w:tab w:val="left" w:pos="4860"/>
          <w:tab w:val="left" w:pos="6255"/>
        </w:tabs>
        <w:spacing w:line="360" w:lineRule="auto"/>
        <w:ind w:right="113" w:firstLine="240" w:firstLineChars="100"/>
        <w:rPr>
          <w:rFonts w:ascii="宋体" w:hAnsi="宋体" w:cs="宋体"/>
        </w:rPr>
      </w:pPr>
      <w:r>
        <w:rPr>
          <w:rFonts w:hint="eastAsia" w:ascii="宋体" w:hAnsi="宋体" w:cs="宋体"/>
        </w:rPr>
        <w:t>1</w:t>
      </w:r>
      <w:r>
        <w:rPr>
          <w:rFonts w:hint="eastAsia" w:ascii="宋体" w:hAnsi="宋体" w:cs="宋体"/>
          <w:spacing w:val="-25"/>
        </w:rPr>
        <w:t>．</w:t>
      </w:r>
      <w:r>
        <w:rPr>
          <w:rFonts w:hint="eastAsia" w:ascii="宋体" w:hAnsi="宋体" w:cs="宋体"/>
        </w:rPr>
        <w:t>我</w:t>
      </w:r>
      <w:r>
        <w:rPr>
          <w:rFonts w:hint="eastAsia" w:ascii="宋体" w:hAnsi="宋体" w:cs="宋体"/>
          <w:spacing w:val="-3"/>
        </w:rPr>
        <w:t>方</w:t>
      </w:r>
      <w:r>
        <w:rPr>
          <w:rFonts w:hint="eastAsia" w:ascii="宋体" w:hAnsi="宋体" w:cs="宋体"/>
        </w:rPr>
        <w:t>已</w:t>
      </w:r>
      <w:r>
        <w:rPr>
          <w:rFonts w:hint="eastAsia" w:ascii="宋体" w:hAnsi="宋体" w:cs="宋体"/>
          <w:spacing w:val="-3"/>
        </w:rPr>
        <w:t>仔</w:t>
      </w:r>
      <w:r>
        <w:rPr>
          <w:rFonts w:hint="eastAsia" w:ascii="宋体" w:hAnsi="宋体" w:cs="宋体"/>
        </w:rPr>
        <w:t>细</w:t>
      </w:r>
      <w:r>
        <w:rPr>
          <w:rFonts w:hint="eastAsia" w:ascii="宋体" w:hAnsi="宋体" w:cs="宋体"/>
          <w:spacing w:val="-3"/>
        </w:rPr>
        <w:t>研</w:t>
      </w:r>
      <w:r>
        <w:rPr>
          <w:rFonts w:hint="eastAsia" w:ascii="宋体" w:hAnsi="宋体" w:cs="宋体"/>
        </w:rPr>
        <w:t>究了</w:t>
      </w:r>
      <w:r>
        <w:rPr>
          <w:rFonts w:hint="eastAsia" w:ascii="宋体" w:hAnsi="宋体" w:cs="宋体"/>
          <w:u w:val="single"/>
        </w:rPr>
        <w:t xml:space="preserve">                     </w:t>
      </w:r>
      <w:r>
        <w:rPr>
          <w:rFonts w:hint="eastAsia" w:ascii="宋体" w:hAnsi="宋体" w:cs="宋体"/>
        </w:rPr>
        <w:t>采购文</w:t>
      </w:r>
      <w:r>
        <w:rPr>
          <w:rFonts w:hint="eastAsia" w:ascii="宋体" w:hAnsi="宋体" w:cs="宋体"/>
          <w:spacing w:val="-3"/>
        </w:rPr>
        <w:t>件</w:t>
      </w:r>
      <w:r>
        <w:rPr>
          <w:rFonts w:hint="eastAsia" w:ascii="宋体" w:hAnsi="宋体" w:cs="宋体"/>
        </w:rPr>
        <w:t>的</w:t>
      </w:r>
      <w:r>
        <w:rPr>
          <w:rFonts w:hint="eastAsia" w:ascii="宋体" w:hAnsi="宋体" w:cs="宋体"/>
          <w:spacing w:val="-3"/>
        </w:rPr>
        <w:t>全</w:t>
      </w:r>
      <w:r>
        <w:rPr>
          <w:rFonts w:hint="eastAsia" w:ascii="宋体" w:hAnsi="宋体" w:cs="宋体"/>
        </w:rPr>
        <w:t>部内</w:t>
      </w:r>
      <w:r>
        <w:rPr>
          <w:rFonts w:hint="eastAsia" w:ascii="宋体" w:hAnsi="宋体" w:cs="宋体"/>
          <w:spacing w:val="-3"/>
        </w:rPr>
        <w:t>容</w:t>
      </w:r>
      <w:r>
        <w:rPr>
          <w:rFonts w:hint="eastAsia" w:ascii="宋体" w:hAnsi="宋体" w:cs="宋体"/>
          <w:spacing w:val="-10"/>
        </w:rPr>
        <w:t>，</w:t>
      </w:r>
      <w:r>
        <w:rPr>
          <w:rFonts w:hint="eastAsia" w:ascii="宋体" w:hAnsi="宋体" w:cs="宋体"/>
          <w:spacing w:val="-3"/>
        </w:rPr>
        <w:t>愿</w:t>
      </w:r>
      <w:r>
        <w:rPr>
          <w:rFonts w:hint="eastAsia" w:ascii="宋体" w:hAnsi="宋体" w:cs="宋体"/>
        </w:rPr>
        <w:t>意</w:t>
      </w:r>
      <w:r>
        <w:rPr>
          <w:szCs w:val="21"/>
        </w:rPr>
        <w:t>以人民币（大写）</w:t>
      </w:r>
      <w:r>
        <w:rPr>
          <w:rFonts w:hint="eastAsia"/>
          <w:szCs w:val="21"/>
          <w:u w:val="single"/>
        </w:rPr>
        <w:t xml:space="preserve">                   </w:t>
      </w:r>
      <w:r>
        <w:rPr>
          <w:szCs w:val="21"/>
        </w:rPr>
        <w:t>元（¥</w:t>
      </w:r>
      <w:r>
        <w:rPr>
          <w:rFonts w:hint="eastAsia"/>
          <w:szCs w:val="21"/>
          <w:u w:val="single"/>
        </w:rPr>
        <w:t xml:space="preserve">             </w:t>
      </w:r>
      <w:r>
        <w:rPr>
          <w:szCs w:val="21"/>
        </w:rPr>
        <w:t>元）的投标总报价</w:t>
      </w:r>
      <w:r>
        <w:rPr>
          <w:rFonts w:hint="eastAsia" w:ascii="宋体" w:hAnsi="宋体" w:cs="宋体"/>
          <w:sz w:val="21"/>
          <w:szCs w:val="21"/>
        </w:rPr>
        <w:t>（含税价），</w:t>
      </w:r>
      <w:r>
        <w:rPr>
          <w:rFonts w:hint="eastAsia" w:ascii="宋体" w:hAnsi="宋体" w:cs="宋体"/>
          <w:spacing w:val="-2"/>
        </w:rPr>
        <w:t>（</w:t>
      </w:r>
      <w:r>
        <w:rPr>
          <w:rFonts w:hint="eastAsia" w:ascii="宋体" w:hAnsi="宋体" w:cs="宋体"/>
        </w:rPr>
        <w:t>其</w:t>
      </w:r>
      <w:r>
        <w:rPr>
          <w:rFonts w:hint="eastAsia" w:ascii="宋体" w:hAnsi="宋体" w:cs="宋体"/>
          <w:spacing w:val="-3"/>
        </w:rPr>
        <w:t>中</w:t>
      </w:r>
      <w:r>
        <w:rPr>
          <w:rFonts w:hint="eastAsia" w:ascii="宋体" w:hAnsi="宋体" w:cs="宋体"/>
        </w:rPr>
        <w:t>增值税</w:t>
      </w:r>
      <w:r>
        <w:rPr>
          <w:rFonts w:hint="eastAsia" w:ascii="宋体" w:hAnsi="宋体" w:cs="宋体"/>
          <w:spacing w:val="-3"/>
        </w:rPr>
        <w:t>税</w:t>
      </w:r>
      <w:r>
        <w:rPr>
          <w:rFonts w:hint="eastAsia" w:ascii="宋体" w:hAnsi="宋体" w:cs="宋体"/>
        </w:rPr>
        <w:t>率</w:t>
      </w:r>
      <w:r>
        <w:rPr>
          <w:rFonts w:hint="eastAsia" w:ascii="宋体" w:hAnsi="宋体" w:cs="宋体"/>
          <w:spacing w:val="-1"/>
        </w:rPr>
        <w:t>为</w:t>
      </w:r>
      <w:r>
        <w:rPr>
          <w:rFonts w:hint="eastAsia" w:ascii="宋体" w:hAnsi="宋体" w:cs="宋体"/>
          <w:spacing w:val="-1"/>
          <w:u w:val="single"/>
        </w:rPr>
        <w:t xml:space="preserve">      %</w:t>
      </w:r>
      <w:r>
        <w:rPr>
          <w:rFonts w:hint="eastAsia" w:ascii="宋体" w:hAnsi="宋体" w:cs="宋体"/>
          <w:spacing w:val="-32"/>
        </w:rPr>
        <w:t>）</w:t>
      </w:r>
      <w:r>
        <w:rPr>
          <w:rFonts w:hint="eastAsia" w:ascii="宋体" w:hAnsi="宋体" w:cs="宋体"/>
          <w:spacing w:val="-3"/>
        </w:rPr>
        <w:t>，</w:t>
      </w:r>
      <w:r>
        <w:rPr>
          <w:rFonts w:hint="eastAsia" w:ascii="宋体" w:hAnsi="宋体" w:cs="宋体"/>
        </w:rPr>
        <w:t>并按合</w:t>
      </w:r>
      <w:r>
        <w:rPr>
          <w:rFonts w:hint="eastAsia" w:ascii="宋体" w:hAnsi="宋体" w:cs="宋体"/>
          <w:spacing w:val="-3"/>
        </w:rPr>
        <w:t>同</w:t>
      </w:r>
      <w:r>
        <w:rPr>
          <w:rFonts w:hint="eastAsia" w:ascii="宋体" w:hAnsi="宋体" w:cs="宋体"/>
        </w:rPr>
        <w:t>约</w:t>
      </w:r>
      <w:r>
        <w:rPr>
          <w:rFonts w:hint="eastAsia" w:ascii="宋体" w:hAnsi="宋体" w:cs="宋体"/>
          <w:spacing w:val="-3"/>
        </w:rPr>
        <w:t>定</w:t>
      </w:r>
      <w:r>
        <w:rPr>
          <w:rFonts w:hint="eastAsia" w:ascii="宋体" w:hAnsi="宋体" w:cs="宋体"/>
        </w:rPr>
        <w:t>履</w:t>
      </w:r>
      <w:r>
        <w:rPr>
          <w:rFonts w:hint="eastAsia" w:ascii="宋体" w:hAnsi="宋体" w:cs="宋体"/>
          <w:spacing w:val="-3"/>
        </w:rPr>
        <w:t>行</w:t>
      </w:r>
      <w:r>
        <w:rPr>
          <w:rFonts w:hint="eastAsia" w:ascii="宋体" w:hAnsi="宋体" w:cs="宋体"/>
        </w:rPr>
        <w:t>义</w:t>
      </w:r>
      <w:r>
        <w:rPr>
          <w:rFonts w:hint="eastAsia" w:ascii="宋体" w:hAnsi="宋体" w:cs="宋体"/>
          <w:spacing w:val="-3"/>
        </w:rPr>
        <w:t>务</w:t>
      </w:r>
      <w:r>
        <w:rPr>
          <w:rFonts w:hint="eastAsia" w:ascii="宋体" w:hAnsi="宋体" w:cs="宋体"/>
        </w:rPr>
        <w:t>。</w:t>
      </w:r>
    </w:p>
    <w:p>
      <w:pPr>
        <w:pBdr>
          <w:top w:val="none" w:color="000000" w:sz="0" w:space="3"/>
          <w:left w:val="none" w:color="000000" w:sz="0" w:space="3"/>
          <w:bottom w:val="none" w:color="000000" w:sz="0" w:space="3"/>
          <w:right w:val="none" w:color="000000" w:sz="0" w:space="3"/>
        </w:pBdr>
        <w:spacing w:line="360" w:lineRule="auto"/>
        <w:ind w:firstLine="240" w:firstLineChars="100"/>
        <w:rPr>
          <w:rFonts w:ascii="宋体" w:hAnsi="宋体" w:cs="宋体"/>
        </w:rPr>
      </w:pPr>
      <w:r>
        <w:rPr>
          <w:rFonts w:hint="eastAsia" w:ascii="宋体" w:hAnsi="宋体" w:cs="宋体"/>
        </w:rPr>
        <w:t>2.我方的报价应答文件包括下列内容：</w:t>
      </w:r>
    </w:p>
    <w:p>
      <w:pPr>
        <w:pBdr>
          <w:top w:val="none" w:color="000000" w:sz="0" w:space="3"/>
          <w:bottom w:val="none" w:color="000000" w:sz="0" w:space="3"/>
          <w:right w:val="none" w:color="000000" w:sz="0" w:space="3"/>
        </w:pBdr>
        <w:spacing w:line="360" w:lineRule="auto"/>
        <w:ind w:right="31" w:firstLine="240" w:firstLineChars="100"/>
        <w:rPr>
          <w:rFonts w:ascii="宋体" w:hAnsi="宋体" w:cs="宋体"/>
        </w:rPr>
      </w:pPr>
      <w:bookmarkStart w:id="282" w:name="_Toc9392_WPSOffice_Level3"/>
      <w:r>
        <w:rPr>
          <w:rFonts w:hint="eastAsia" w:ascii="宋体" w:hAnsi="宋体" w:cs="宋体"/>
        </w:rPr>
        <w:t>（1）报价函；</w:t>
      </w:r>
      <w:bookmarkEnd w:id="282"/>
    </w:p>
    <w:p>
      <w:pPr>
        <w:pBdr>
          <w:top w:val="none" w:color="000000" w:sz="0" w:space="3"/>
          <w:bottom w:val="none" w:color="000000" w:sz="0" w:space="3"/>
          <w:right w:val="none" w:color="000000" w:sz="0" w:space="3"/>
        </w:pBdr>
        <w:spacing w:line="360" w:lineRule="auto"/>
        <w:ind w:right="31" w:firstLine="240" w:firstLineChars="100"/>
        <w:rPr>
          <w:rFonts w:ascii="宋体" w:hAnsi="宋体"/>
        </w:rPr>
      </w:pPr>
      <w:bookmarkStart w:id="283" w:name="_Toc533_WPSOffice_Level3"/>
      <w:r>
        <w:rPr>
          <w:rFonts w:hint="eastAsia" w:ascii="宋体" w:hAnsi="宋体" w:cs="宋体"/>
        </w:rPr>
        <w:t>（2）营业执照；</w:t>
      </w:r>
      <w:bookmarkEnd w:id="283"/>
    </w:p>
    <w:p>
      <w:pPr>
        <w:pBdr>
          <w:top w:val="none" w:color="000000" w:sz="0" w:space="3"/>
          <w:bottom w:val="none" w:color="000000" w:sz="0" w:space="3"/>
          <w:right w:val="none" w:color="000000" w:sz="0" w:space="3"/>
        </w:pBdr>
        <w:spacing w:line="360" w:lineRule="auto"/>
        <w:ind w:right="31" w:firstLine="240" w:firstLineChars="100"/>
        <w:rPr>
          <w:rFonts w:ascii="宋体" w:hAnsi="宋体" w:cs="宋体"/>
        </w:rPr>
      </w:pPr>
      <w:bookmarkStart w:id="284" w:name="_Toc22551_WPSOffice_Level3"/>
      <w:r>
        <w:rPr>
          <w:rFonts w:hint="eastAsia" w:ascii="宋体" w:hAnsi="宋体" w:cs="宋体"/>
        </w:rPr>
        <w:t>（3）法定代表人（单位负责人）身份证明；</w:t>
      </w:r>
      <w:bookmarkEnd w:id="284"/>
    </w:p>
    <w:p>
      <w:pPr>
        <w:pBdr>
          <w:top w:val="none" w:color="000000" w:sz="0" w:space="3"/>
          <w:bottom w:val="none" w:color="000000" w:sz="0" w:space="3"/>
          <w:right w:val="none" w:color="000000" w:sz="0" w:space="3"/>
        </w:pBdr>
        <w:spacing w:line="360" w:lineRule="auto"/>
        <w:ind w:right="31" w:firstLine="240" w:firstLineChars="100"/>
        <w:rPr>
          <w:rFonts w:ascii="宋体" w:hAnsi="宋体" w:cs="宋体"/>
        </w:rPr>
      </w:pPr>
      <w:bookmarkStart w:id="285" w:name="_Toc13997_WPSOffice_Level3"/>
      <w:r>
        <w:rPr>
          <w:rFonts w:hint="eastAsia" w:ascii="宋体" w:hAnsi="宋体" w:cs="宋体"/>
        </w:rPr>
        <w:t>（4）授权委托书；</w:t>
      </w:r>
      <w:bookmarkEnd w:id="285"/>
    </w:p>
    <w:p>
      <w:pPr>
        <w:pBdr>
          <w:top w:val="none" w:color="000000" w:sz="0" w:space="3"/>
          <w:bottom w:val="none" w:color="000000" w:sz="0" w:space="3"/>
          <w:right w:val="none" w:color="000000" w:sz="0" w:space="3"/>
        </w:pBdr>
        <w:spacing w:line="360" w:lineRule="auto"/>
        <w:ind w:right="31" w:firstLine="240" w:firstLineChars="100"/>
        <w:rPr>
          <w:rFonts w:ascii="宋体" w:hAnsi="宋体" w:cs="宋体"/>
        </w:rPr>
      </w:pPr>
      <w:bookmarkStart w:id="286" w:name="_Toc14214_WPSOffice_Level3"/>
      <w:r>
        <w:rPr>
          <w:rFonts w:hint="eastAsia" w:ascii="宋体" w:hAnsi="宋体" w:cs="宋体"/>
        </w:rPr>
        <w:t>（5）其他相应承诺；</w:t>
      </w:r>
      <w:bookmarkEnd w:id="286"/>
      <w:bookmarkStart w:id="287" w:name="_Hlk71639441"/>
    </w:p>
    <w:p>
      <w:pPr>
        <w:pBdr>
          <w:top w:val="none" w:color="000000" w:sz="0" w:space="3"/>
          <w:bottom w:val="none" w:color="000000" w:sz="0" w:space="3"/>
          <w:right w:val="none" w:color="000000" w:sz="0" w:space="3"/>
        </w:pBdr>
        <w:spacing w:line="360" w:lineRule="auto"/>
        <w:ind w:right="31" w:firstLine="240" w:firstLineChars="100"/>
        <w:rPr>
          <w:rFonts w:ascii="宋体" w:hAnsi="宋体" w:cs="宋体"/>
        </w:rPr>
      </w:pPr>
      <w:bookmarkStart w:id="288" w:name="_Toc25568_WPSOffice_Level3"/>
      <w:r>
        <w:rPr>
          <w:rFonts w:hint="eastAsia" w:ascii="宋体" w:hAnsi="宋体" w:cs="宋体"/>
        </w:rPr>
        <w:t>（6）</w:t>
      </w:r>
      <w:bookmarkEnd w:id="287"/>
      <w:bookmarkEnd w:id="288"/>
      <w:bookmarkStart w:id="289" w:name="_Toc1046_WPSOffice_Level3"/>
      <w:r>
        <w:rPr>
          <w:rFonts w:hint="eastAsia" w:ascii="宋体" w:hAnsi="宋体" w:cs="宋体"/>
        </w:rPr>
        <w:t>报价表；</w:t>
      </w:r>
      <w:bookmarkEnd w:id="289"/>
    </w:p>
    <w:p>
      <w:pPr>
        <w:pBdr>
          <w:top w:val="none" w:color="000000" w:sz="0" w:space="3"/>
          <w:bottom w:val="none" w:color="000000" w:sz="0" w:space="3"/>
          <w:right w:val="none" w:color="000000" w:sz="0" w:space="3"/>
        </w:pBdr>
        <w:spacing w:line="360" w:lineRule="auto"/>
        <w:ind w:right="31" w:firstLine="240" w:firstLineChars="100"/>
        <w:rPr>
          <w:rFonts w:ascii="宋体" w:hAnsi="宋体" w:cs="宋体"/>
        </w:rPr>
      </w:pPr>
      <w:r>
        <w:rPr>
          <w:rFonts w:hint="eastAsia" w:ascii="宋体" w:hAnsi="宋体" w:cs="宋体"/>
        </w:rPr>
        <w:t>（7）其他文件</w:t>
      </w:r>
    </w:p>
    <w:p>
      <w:pPr>
        <w:pBdr>
          <w:top w:val="none" w:color="000000" w:sz="0" w:space="3"/>
          <w:left w:val="none" w:color="000000" w:sz="0" w:space="3"/>
          <w:bottom w:val="none" w:color="000000" w:sz="0" w:space="3"/>
          <w:right w:val="none" w:color="000000" w:sz="0" w:space="3"/>
        </w:pBdr>
        <w:spacing w:line="360" w:lineRule="auto"/>
        <w:ind w:firstLine="240" w:firstLineChars="100"/>
        <w:rPr>
          <w:rFonts w:ascii="宋体" w:hAnsi="宋体" w:cs="宋体"/>
        </w:rPr>
      </w:pPr>
      <w:r>
        <w:rPr>
          <w:rFonts w:hint="eastAsia" w:ascii="宋体" w:hAnsi="宋体" w:cs="宋体"/>
        </w:rPr>
        <w:t>采购</w:t>
      </w:r>
      <w:r>
        <w:rPr>
          <w:rFonts w:hint="eastAsia" w:ascii="宋体" w:hAnsi="宋体" w:cs="宋体"/>
          <w:spacing w:val="-3"/>
        </w:rPr>
        <w:t>文</w:t>
      </w:r>
      <w:r>
        <w:rPr>
          <w:rFonts w:hint="eastAsia" w:ascii="宋体" w:hAnsi="宋体" w:cs="宋体"/>
        </w:rPr>
        <w:t>件</w:t>
      </w:r>
      <w:r>
        <w:rPr>
          <w:rFonts w:hint="eastAsia" w:ascii="宋体" w:hAnsi="宋体" w:cs="宋体"/>
          <w:spacing w:val="-3"/>
        </w:rPr>
        <w:t>的</w:t>
      </w:r>
      <w:r>
        <w:rPr>
          <w:rFonts w:hint="eastAsia" w:ascii="宋体" w:hAnsi="宋体" w:cs="宋体"/>
        </w:rPr>
        <w:t>上</w:t>
      </w:r>
      <w:r>
        <w:rPr>
          <w:rFonts w:hint="eastAsia" w:ascii="宋体" w:hAnsi="宋体" w:cs="宋体"/>
          <w:spacing w:val="-3"/>
        </w:rPr>
        <w:t>述</w:t>
      </w:r>
      <w:r>
        <w:rPr>
          <w:rFonts w:hint="eastAsia" w:ascii="宋体" w:hAnsi="宋体" w:cs="宋体"/>
        </w:rPr>
        <w:t>组</w:t>
      </w:r>
      <w:r>
        <w:rPr>
          <w:rFonts w:hint="eastAsia" w:ascii="宋体" w:hAnsi="宋体" w:cs="宋体"/>
          <w:spacing w:val="-3"/>
        </w:rPr>
        <w:t>成</w:t>
      </w:r>
      <w:r>
        <w:rPr>
          <w:rFonts w:hint="eastAsia" w:ascii="宋体" w:hAnsi="宋体" w:cs="宋体"/>
        </w:rPr>
        <w:t>部</w:t>
      </w:r>
      <w:r>
        <w:rPr>
          <w:rFonts w:hint="eastAsia" w:ascii="宋体" w:hAnsi="宋体" w:cs="宋体"/>
          <w:spacing w:val="-3"/>
        </w:rPr>
        <w:t>分</w:t>
      </w:r>
      <w:r>
        <w:rPr>
          <w:rFonts w:hint="eastAsia" w:ascii="宋体" w:hAnsi="宋体" w:cs="宋体"/>
        </w:rPr>
        <w:t>如存</w:t>
      </w:r>
      <w:r>
        <w:rPr>
          <w:rFonts w:hint="eastAsia" w:ascii="宋体" w:hAnsi="宋体" w:cs="宋体"/>
          <w:spacing w:val="-3"/>
        </w:rPr>
        <w:t>在</w:t>
      </w:r>
      <w:r>
        <w:rPr>
          <w:rFonts w:hint="eastAsia" w:ascii="宋体" w:hAnsi="宋体" w:cs="宋体"/>
        </w:rPr>
        <w:t>内</w:t>
      </w:r>
      <w:r>
        <w:rPr>
          <w:rFonts w:hint="eastAsia" w:ascii="宋体" w:hAnsi="宋体" w:cs="宋体"/>
          <w:spacing w:val="-3"/>
        </w:rPr>
        <w:t>容</w:t>
      </w:r>
      <w:r>
        <w:rPr>
          <w:rFonts w:hint="eastAsia" w:ascii="宋体" w:hAnsi="宋体" w:cs="宋体"/>
        </w:rPr>
        <w:t>不</w:t>
      </w:r>
      <w:r>
        <w:rPr>
          <w:rFonts w:hint="eastAsia" w:ascii="宋体" w:hAnsi="宋体" w:cs="宋体"/>
          <w:spacing w:val="-3"/>
        </w:rPr>
        <w:t>一</w:t>
      </w:r>
      <w:r>
        <w:rPr>
          <w:rFonts w:hint="eastAsia" w:ascii="宋体" w:hAnsi="宋体" w:cs="宋体"/>
        </w:rPr>
        <w:t>致</w:t>
      </w:r>
      <w:r>
        <w:rPr>
          <w:rFonts w:hint="eastAsia" w:ascii="宋体" w:hAnsi="宋体" w:cs="宋体"/>
          <w:spacing w:val="-3"/>
        </w:rPr>
        <w:t>的</w:t>
      </w:r>
      <w:r>
        <w:rPr>
          <w:rFonts w:hint="eastAsia" w:ascii="宋体" w:hAnsi="宋体" w:cs="宋体"/>
        </w:rPr>
        <w:t>，</w:t>
      </w:r>
      <w:r>
        <w:rPr>
          <w:rFonts w:hint="eastAsia" w:ascii="宋体" w:hAnsi="宋体" w:cs="宋体"/>
          <w:spacing w:val="-3"/>
        </w:rPr>
        <w:t>以</w:t>
      </w:r>
      <w:r>
        <w:rPr>
          <w:rFonts w:hint="eastAsia" w:ascii="宋体" w:hAnsi="宋体" w:cs="宋体"/>
        </w:rPr>
        <w:t>报价</w:t>
      </w:r>
      <w:r>
        <w:rPr>
          <w:rFonts w:hint="eastAsia" w:ascii="宋体" w:hAnsi="宋体" w:cs="宋体"/>
          <w:spacing w:val="-3"/>
        </w:rPr>
        <w:t>函</w:t>
      </w:r>
      <w:r>
        <w:rPr>
          <w:rFonts w:hint="eastAsia" w:ascii="宋体" w:hAnsi="宋体" w:cs="宋体"/>
        </w:rPr>
        <w:t>为</w:t>
      </w:r>
      <w:r>
        <w:rPr>
          <w:rFonts w:hint="eastAsia" w:ascii="宋体" w:hAnsi="宋体" w:cs="宋体"/>
          <w:spacing w:val="-3"/>
        </w:rPr>
        <w:t>准</w:t>
      </w:r>
      <w:r>
        <w:rPr>
          <w:rFonts w:hint="eastAsia" w:ascii="宋体" w:hAnsi="宋体" w:cs="宋体"/>
        </w:rPr>
        <w:t>。</w:t>
      </w:r>
    </w:p>
    <w:p>
      <w:pPr>
        <w:pBdr>
          <w:top w:val="none" w:color="000000" w:sz="0" w:space="3"/>
          <w:left w:val="none" w:color="000000" w:sz="0" w:space="3"/>
          <w:bottom w:val="none" w:color="000000" w:sz="0" w:space="3"/>
          <w:right w:val="none" w:color="000000" w:sz="0" w:space="3"/>
        </w:pBdr>
        <w:spacing w:line="360" w:lineRule="auto"/>
        <w:ind w:firstLine="240" w:firstLineChars="100"/>
        <w:rPr>
          <w:rFonts w:ascii="宋体" w:hAnsi="宋体" w:cs="宋体"/>
        </w:rPr>
      </w:pPr>
      <w:r>
        <w:rPr>
          <w:rFonts w:hint="eastAsia" w:ascii="宋体" w:hAnsi="宋体" w:cs="宋体"/>
        </w:rPr>
        <w:t>3．</w:t>
      </w:r>
      <w:r>
        <w:rPr>
          <w:rFonts w:hint="eastAsia" w:ascii="宋体" w:hAnsi="宋体" w:cs="宋体"/>
          <w:spacing w:val="-3"/>
        </w:rPr>
        <w:t>我</w:t>
      </w:r>
      <w:r>
        <w:rPr>
          <w:rFonts w:hint="eastAsia" w:ascii="宋体" w:hAnsi="宋体" w:cs="宋体"/>
        </w:rPr>
        <w:t>方</w:t>
      </w:r>
      <w:r>
        <w:rPr>
          <w:rFonts w:hint="eastAsia" w:ascii="宋体" w:hAnsi="宋体" w:cs="宋体"/>
          <w:spacing w:val="-3"/>
        </w:rPr>
        <w:t>响</w:t>
      </w:r>
      <w:r>
        <w:rPr>
          <w:rFonts w:hint="eastAsia" w:ascii="宋体" w:hAnsi="宋体" w:cs="宋体"/>
        </w:rPr>
        <w:t>应</w:t>
      </w:r>
      <w:r>
        <w:rPr>
          <w:rFonts w:hint="eastAsia" w:ascii="宋体" w:hAnsi="宋体" w:cs="宋体"/>
          <w:spacing w:val="-3"/>
        </w:rPr>
        <w:t>采购文</w:t>
      </w:r>
      <w:r>
        <w:rPr>
          <w:rFonts w:hint="eastAsia" w:ascii="宋体" w:hAnsi="宋体" w:cs="宋体"/>
        </w:rPr>
        <w:t>件</w:t>
      </w:r>
      <w:r>
        <w:rPr>
          <w:rFonts w:hint="eastAsia" w:ascii="宋体" w:hAnsi="宋体" w:cs="宋体"/>
          <w:spacing w:val="-3"/>
        </w:rPr>
        <w:t>的</w:t>
      </w:r>
      <w:r>
        <w:rPr>
          <w:rFonts w:hint="eastAsia" w:ascii="宋体" w:hAnsi="宋体" w:cs="宋体"/>
        </w:rPr>
        <w:t>全</w:t>
      </w:r>
      <w:r>
        <w:rPr>
          <w:rFonts w:hint="eastAsia" w:ascii="宋体" w:hAnsi="宋体" w:cs="宋体"/>
          <w:spacing w:val="-3"/>
        </w:rPr>
        <w:t>部</w:t>
      </w:r>
      <w:r>
        <w:rPr>
          <w:rFonts w:hint="eastAsia" w:ascii="宋体" w:hAnsi="宋体" w:cs="宋体"/>
        </w:rPr>
        <w:t>要求，</w:t>
      </w:r>
      <w:r>
        <w:rPr>
          <w:rFonts w:hint="eastAsia" w:ascii="宋体" w:hAnsi="宋体" w:cs="宋体"/>
          <w:spacing w:val="-3"/>
        </w:rPr>
        <w:t>在</w:t>
      </w:r>
      <w:r>
        <w:rPr>
          <w:rFonts w:hint="eastAsia" w:ascii="宋体" w:hAnsi="宋体" w:cs="宋体"/>
        </w:rPr>
        <w:t>采购文</w:t>
      </w:r>
      <w:r>
        <w:rPr>
          <w:rFonts w:hint="eastAsia" w:ascii="宋体" w:hAnsi="宋体" w:cs="宋体"/>
          <w:spacing w:val="-3"/>
        </w:rPr>
        <w:t>件规</w:t>
      </w:r>
      <w:r>
        <w:rPr>
          <w:rFonts w:hint="eastAsia" w:ascii="宋体" w:hAnsi="宋体" w:cs="宋体"/>
        </w:rPr>
        <w:t>定的</w:t>
      </w:r>
      <w:r>
        <w:rPr>
          <w:rFonts w:hint="eastAsia" w:ascii="宋体" w:hAnsi="宋体" w:cs="宋体"/>
          <w:spacing w:val="-3"/>
        </w:rPr>
        <w:t>应答文件有</w:t>
      </w:r>
      <w:r>
        <w:rPr>
          <w:rFonts w:hint="eastAsia" w:ascii="宋体" w:hAnsi="宋体" w:cs="宋体"/>
        </w:rPr>
        <w:t>效</w:t>
      </w:r>
      <w:r>
        <w:rPr>
          <w:rFonts w:hint="eastAsia" w:ascii="宋体" w:hAnsi="宋体" w:cs="宋体"/>
          <w:spacing w:val="-3"/>
        </w:rPr>
        <w:t>期</w:t>
      </w:r>
      <w:r>
        <w:rPr>
          <w:rFonts w:hint="eastAsia" w:ascii="宋体" w:hAnsi="宋体" w:cs="宋体"/>
        </w:rPr>
        <w:t>内</w:t>
      </w:r>
      <w:r>
        <w:rPr>
          <w:rFonts w:hint="eastAsia" w:ascii="宋体" w:hAnsi="宋体" w:cs="宋体"/>
          <w:spacing w:val="-3"/>
        </w:rPr>
        <w:t>不</w:t>
      </w:r>
      <w:r>
        <w:rPr>
          <w:rFonts w:hint="eastAsia" w:ascii="宋体" w:hAnsi="宋体" w:cs="宋体"/>
        </w:rPr>
        <w:t>撤</w:t>
      </w:r>
      <w:r>
        <w:rPr>
          <w:rFonts w:hint="eastAsia" w:ascii="宋体" w:hAnsi="宋体" w:cs="宋体"/>
          <w:spacing w:val="-3"/>
        </w:rPr>
        <w:t>销</w:t>
      </w:r>
      <w:r>
        <w:rPr>
          <w:rFonts w:hint="eastAsia" w:ascii="宋体" w:hAnsi="宋体" w:cs="宋体"/>
        </w:rPr>
        <w:t>应答</w:t>
      </w:r>
      <w:r>
        <w:rPr>
          <w:rFonts w:hint="eastAsia" w:ascii="宋体" w:hAnsi="宋体" w:cs="宋体"/>
          <w:spacing w:val="-3"/>
        </w:rPr>
        <w:t>文</w:t>
      </w:r>
      <w:r>
        <w:rPr>
          <w:rFonts w:hint="eastAsia" w:ascii="宋体" w:hAnsi="宋体" w:cs="宋体"/>
        </w:rPr>
        <w:t>件。</w:t>
      </w:r>
    </w:p>
    <w:p>
      <w:pPr>
        <w:pBdr>
          <w:top w:val="none" w:color="000000" w:sz="0" w:space="3"/>
          <w:left w:val="none" w:color="000000" w:sz="0" w:space="3"/>
          <w:bottom w:val="none" w:color="000000" w:sz="0" w:space="3"/>
          <w:right w:val="none" w:color="000000" w:sz="0" w:space="3"/>
        </w:pBdr>
        <w:spacing w:line="360" w:lineRule="auto"/>
        <w:ind w:firstLine="240" w:firstLineChars="100"/>
        <w:rPr>
          <w:rFonts w:ascii="宋体" w:hAnsi="宋体" w:cs="宋体"/>
        </w:rPr>
      </w:pPr>
      <w:r>
        <w:rPr>
          <w:rFonts w:hint="eastAsia" w:ascii="宋体" w:hAnsi="宋体" w:cs="宋体"/>
        </w:rPr>
        <w:t>4．</w:t>
      </w:r>
      <w:r>
        <w:rPr>
          <w:rFonts w:hint="eastAsia" w:ascii="宋体" w:hAnsi="宋体" w:cs="宋体"/>
          <w:spacing w:val="-3"/>
        </w:rPr>
        <w:t>如</w:t>
      </w:r>
      <w:r>
        <w:rPr>
          <w:rFonts w:hint="eastAsia" w:ascii="宋体" w:hAnsi="宋体" w:cs="宋体"/>
        </w:rPr>
        <w:t>我</w:t>
      </w:r>
      <w:r>
        <w:rPr>
          <w:rFonts w:hint="eastAsia" w:ascii="宋体" w:hAnsi="宋体" w:cs="宋体"/>
          <w:spacing w:val="-3"/>
        </w:rPr>
        <w:t>方</w:t>
      </w:r>
      <w:r>
        <w:rPr>
          <w:rFonts w:hint="eastAsia" w:ascii="宋体" w:hAnsi="宋体" w:cs="宋体"/>
        </w:rPr>
        <w:t>为成交人，</w:t>
      </w:r>
      <w:r>
        <w:rPr>
          <w:rFonts w:hint="eastAsia" w:ascii="宋体" w:hAnsi="宋体" w:cs="宋体"/>
          <w:spacing w:val="-3"/>
        </w:rPr>
        <w:t>我</w:t>
      </w:r>
      <w:r>
        <w:rPr>
          <w:rFonts w:hint="eastAsia" w:ascii="宋体" w:hAnsi="宋体" w:cs="宋体"/>
        </w:rPr>
        <w:t>方</w:t>
      </w:r>
      <w:r>
        <w:rPr>
          <w:rFonts w:hint="eastAsia" w:ascii="宋体" w:hAnsi="宋体" w:cs="宋体"/>
          <w:spacing w:val="-3"/>
        </w:rPr>
        <w:t>承诺</w:t>
      </w:r>
      <w:r>
        <w:rPr>
          <w:rFonts w:hint="eastAsia" w:ascii="宋体" w:hAnsi="宋体" w:cs="宋体"/>
        </w:rPr>
        <w:t>：</w:t>
      </w:r>
    </w:p>
    <w:p>
      <w:pPr>
        <w:pBdr>
          <w:top w:val="none" w:color="000000" w:sz="0" w:space="3"/>
          <w:left w:val="none" w:color="000000" w:sz="0" w:space="3"/>
          <w:bottom w:val="none" w:color="000000" w:sz="0" w:space="3"/>
          <w:right w:val="none" w:color="000000" w:sz="0" w:space="3"/>
        </w:pBdr>
        <w:spacing w:line="360" w:lineRule="auto"/>
        <w:ind w:firstLine="240" w:firstLineChars="100"/>
        <w:rPr>
          <w:rFonts w:ascii="宋体" w:hAnsi="宋体" w:cs="宋体"/>
        </w:rPr>
      </w:pPr>
      <w:r>
        <w:rPr>
          <w:rFonts w:hint="eastAsia" w:ascii="宋体" w:hAnsi="宋体" w:cs="宋体"/>
        </w:rPr>
        <w:t>（1</w:t>
      </w:r>
      <w:r>
        <w:rPr>
          <w:rFonts w:hint="eastAsia" w:ascii="宋体" w:hAnsi="宋体" w:cs="宋体"/>
          <w:spacing w:val="-3"/>
        </w:rPr>
        <w:t>）收</w:t>
      </w:r>
      <w:r>
        <w:rPr>
          <w:rFonts w:hint="eastAsia" w:ascii="宋体" w:hAnsi="宋体" w:cs="宋体"/>
        </w:rPr>
        <w:t>到</w:t>
      </w:r>
      <w:r>
        <w:rPr>
          <w:rFonts w:hint="eastAsia" w:ascii="宋体" w:hAnsi="宋体" w:cs="宋体"/>
          <w:spacing w:val="-3"/>
        </w:rPr>
        <w:t>成交通</w:t>
      </w:r>
      <w:r>
        <w:rPr>
          <w:rFonts w:hint="eastAsia" w:ascii="宋体" w:hAnsi="宋体" w:cs="宋体"/>
        </w:rPr>
        <w:t>知</w:t>
      </w:r>
      <w:r>
        <w:rPr>
          <w:rFonts w:hint="eastAsia" w:ascii="宋体" w:hAnsi="宋体" w:cs="宋体"/>
          <w:spacing w:val="-3"/>
        </w:rPr>
        <w:t>书后</w:t>
      </w:r>
      <w:r>
        <w:rPr>
          <w:rFonts w:hint="eastAsia" w:ascii="宋体" w:hAnsi="宋体" w:cs="宋体"/>
        </w:rPr>
        <w:t>，在</w:t>
      </w:r>
      <w:r>
        <w:rPr>
          <w:rFonts w:hint="eastAsia" w:ascii="宋体" w:hAnsi="宋体" w:cs="宋体"/>
          <w:spacing w:val="-3"/>
        </w:rPr>
        <w:t>成交通</w:t>
      </w:r>
      <w:r>
        <w:rPr>
          <w:rFonts w:hint="eastAsia" w:ascii="宋体" w:hAnsi="宋体" w:cs="宋体"/>
        </w:rPr>
        <w:t>知</w:t>
      </w:r>
      <w:r>
        <w:rPr>
          <w:rFonts w:hint="eastAsia" w:ascii="宋体" w:hAnsi="宋体" w:cs="宋体"/>
          <w:spacing w:val="-3"/>
        </w:rPr>
        <w:t>书</w:t>
      </w:r>
      <w:r>
        <w:rPr>
          <w:rFonts w:hint="eastAsia" w:ascii="宋体" w:hAnsi="宋体" w:cs="宋体"/>
        </w:rPr>
        <w:t>规</w:t>
      </w:r>
      <w:r>
        <w:rPr>
          <w:rFonts w:hint="eastAsia" w:ascii="宋体" w:hAnsi="宋体" w:cs="宋体"/>
          <w:spacing w:val="-3"/>
        </w:rPr>
        <w:t>定</w:t>
      </w:r>
      <w:r>
        <w:rPr>
          <w:rFonts w:hint="eastAsia" w:ascii="宋体" w:hAnsi="宋体" w:cs="宋体"/>
        </w:rPr>
        <w:t>的</w:t>
      </w:r>
      <w:r>
        <w:rPr>
          <w:rFonts w:hint="eastAsia" w:ascii="宋体" w:hAnsi="宋体" w:cs="宋体"/>
          <w:spacing w:val="-3"/>
        </w:rPr>
        <w:t>期</w:t>
      </w:r>
      <w:r>
        <w:rPr>
          <w:rFonts w:hint="eastAsia" w:ascii="宋体" w:hAnsi="宋体" w:cs="宋体"/>
        </w:rPr>
        <w:t>限内</w:t>
      </w:r>
      <w:r>
        <w:rPr>
          <w:rFonts w:hint="eastAsia" w:ascii="宋体" w:hAnsi="宋体" w:cs="宋体"/>
          <w:spacing w:val="-3"/>
        </w:rPr>
        <w:t>与</w:t>
      </w:r>
      <w:r>
        <w:rPr>
          <w:rFonts w:hint="eastAsia" w:ascii="宋体" w:hAnsi="宋体" w:cs="宋体"/>
        </w:rPr>
        <w:t>你</w:t>
      </w:r>
      <w:r>
        <w:rPr>
          <w:rFonts w:hint="eastAsia" w:ascii="宋体" w:hAnsi="宋体" w:cs="宋体"/>
          <w:spacing w:val="-3"/>
        </w:rPr>
        <w:t>方</w:t>
      </w:r>
      <w:r>
        <w:rPr>
          <w:rFonts w:hint="eastAsia" w:ascii="宋体" w:hAnsi="宋体" w:cs="宋体"/>
        </w:rPr>
        <w:t>签</w:t>
      </w:r>
      <w:r>
        <w:rPr>
          <w:rFonts w:hint="eastAsia" w:ascii="宋体" w:hAnsi="宋体" w:cs="宋体"/>
          <w:spacing w:val="-3"/>
        </w:rPr>
        <w:t>订</w:t>
      </w:r>
      <w:r>
        <w:rPr>
          <w:rFonts w:hint="eastAsia" w:ascii="宋体" w:hAnsi="宋体" w:cs="宋体"/>
        </w:rPr>
        <w:t>合</w:t>
      </w:r>
      <w:r>
        <w:rPr>
          <w:rFonts w:hint="eastAsia" w:ascii="宋体" w:hAnsi="宋体" w:cs="宋体"/>
          <w:spacing w:val="-3"/>
        </w:rPr>
        <w:t>同</w:t>
      </w:r>
      <w:r>
        <w:rPr>
          <w:rFonts w:hint="eastAsia" w:ascii="宋体" w:hAnsi="宋体" w:cs="宋体"/>
        </w:rPr>
        <w:t>；</w:t>
      </w:r>
    </w:p>
    <w:p>
      <w:pPr>
        <w:pBdr>
          <w:top w:val="none" w:color="000000" w:sz="0" w:space="3"/>
          <w:left w:val="none" w:color="000000" w:sz="0" w:space="3"/>
          <w:bottom w:val="none" w:color="000000" w:sz="0" w:space="3"/>
          <w:right w:val="none" w:color="000000" w:sz="0" w:space="3"/>
        </w:pBdr>
        <w:spacing w:line="360" w:lineRule="auto"/>
        <w:ind w:firstLine="240" w:firstLineChars="100"/>
        <w:rPr>
          <w:rFonts w:ascii="宋体" w:hAnsi="宋体" w:cs="宋体"/>
        </w:rPr>
      </w:pPr>
      <w:r>
        <w:rPr>
          <w:rFonts w:hint="eastAsia" w:ascii="宋体" w:hAnsi="宋体" w:cs="宋体"/>
        </w:rPr>
        <w:t>（2</w:t>
      </w:r>
      <w:r>
        <w:rPr>
          <w:rFonts w:hint="eastAsia" w:ascii="宋体" w:hAnsi="宋体" w:cs="宋体"/>
          <w:spacing w:val="-3"/>
        </w:rPr>
        <w:t>）签</w:t>
      </w:r>
      <w:r>
        <w:rPr>
          <w:rFonts w:hint="eastAsia" w:ascii="宋体" w:hAnsi="宋体" w:cs="宋体"/>
        </w:rPr>
        <w:t>订</w:t>
      </w:r>
      <w:r>
        <w:rPr>
          <w:rFonts w:hint="eastAsia" w:ascii="宋体" w:hAnsi="宋体" w:cs="宋体"/>
          <w:spacing w:val="-3"/>
        </w:rPr>
        <w:t>合</w:t>
      </w:r>
      <w:r>
        <w:rPr>
          <w:rFonts w:hint="eastAsia" w:ascii="宋体" w:hAnsi="宋体" w:cs="宋体"/>
        </w:rPr>
        <w:t>同</w:t>
      </w:r>
      <w:r>
        <w:rPr>
          <w:rFonts w:hint="eastAsia" w:ascii="宋体" w:hAnsi="宋体" w:cs="宋体"/>
          <w:spacing w:val="-3"/>
        </w:rPr>
        <w:t>时</w:t>
      </w:r>
      <w:r>
        <w:rPr>
          <w:rFonts w:hint="eastAsia" w:ascii="宋体" w:hAnsi="宋体" w:cs="宋体"/>
        </w:rPr>
        <w:t>不</w:t>
      </w:r>
      <w:r>
        <w:rPr>
          <w:rFonts w:hint="eastAsia" w:ascii="宋体" w:hAnsi="宋体" w:cs="宋体"/>
          <w:spacing w:val="-3"/>
        </w:rPr>
        <w:t>向你</w:t>
      </w:r>
      <w:r>
        <w:rPr>
          <w:rFonts w:hint="eastAsia" w:ascii="宋体" w:hAnsi="宋体" w:cs="宋体"/>
        </w:rPr>
        <w:t>方提</w:t>
      </w:r>
      <w:r>
        <w:rPr>
          <w:rFonts w:hint="eastAsia" w:ascii="宋体" w:hAnsi="宋体" w:cs="宋体"/>
          <w:spacing w:val="-3"/>
        </w:rPr>
        <w:t>出</w:t>
      </w:r>
      <w:r>
        <w:rPr>
          <w:rFonts w:hint="eastAsia" w:ascii="宋体" w:hAnsi="宋体" w:cs="宋体"/>
        </w:rPr>
        <w:t>附</w:t>
      </w:r>
      <w:r>
        <w:rPr>
          <w:rFonts w:hint="eastAsia" w:ascii="宋体" w:hAnsi="宋体" w:cs="宋体"/>
          <w:spacing w:val="-3"/>
        </w:rPr>
        <w:t>加</w:t>
      </w:r>
      <w:r>
        <w:rPr>
          <w:rFonts w:hint="eastAsia" w:ascii="宋体" w:hAnsi="宋体" w:cs="宋体"/>
        </w:rPr>
        <w:t>条</w:t>
      </w:r>
      <w:r>
        <w:rPr>
          <w:rFonts w:hint="eastAsia" w:ascii="宋体" w:hAnsi="宋体" w:cs="宋体"/>
          <w:spacing w:val="-3"/>
        </w:rPr>
        <w:t>件</w:t>
      </w:r>
      <w:r>
        <w:rPr>
          <w:rFonts w:hint="eastAsia" w:ascii="宋体" w:hAnsi="宋体" w:cs="宋体"/>
        </w:rPr>
        <w:t>；</w:t>
      </w:r>
    </w:p>
    <w:p>
      <w:pPr>
        <w:pBdr>
          <w:top w:val="none" w:color="000000" w:sz="0" w:space="3"/>
          <w:left w:val="none" w:color="000000" w:sz="0" w:space="3"/>
          <w:bottom w:val="none" w:color="000000" w:sz="0" w:space="3"/>
          <w:right w:val="none" w:color="000000" w:sz="0" w:space="3"/>
        </w:pBdr>
        <w:spacing w:line="360" w:lineRule="auto"/>
        <w:ind w:firstLine="240" w:firstLineChars="100"/>
        <w:rPr>
          <w:rFonts w:ascii="宋体" w:hAnsi="宋体" w:cs="宋体"/>
        </w:rPr>
      </w:pPr>
      <w:r>
        <w:rPr>
          <w:rFonts w:hint="eastAsia" w:ascii="宋体" w:hAnsi="宋体" w:cs="宋体"/>
        </w:rPr>
        <w:t>（3</w:t>
      </w:r>
      <w:r>
        <w:rPr>
          <w:rFonts w:hint="eastAsia" w:ascii="宋体" w:hAnsi="宋体" w:cs="宋体"/>
          <w:spacing w:val="-3"/>
        </w:rPr>
        <w:t>）</w:t>
      </w:r>
      <w:r>
        <w:rPr>
          <w:rFonts w:hint="eastAsia" w:ascii="宋体" w:hAnsi="宋体" w:cs="宋体"/>
        </w:rPr>
        <w:t>在</w:t>
      </w:r>
      <w:r>
        <w:rPr>
          <w:rFonts w:hint="eastAsia" w:ascii="宋体" w:hAnsi="宋体" w:cs="宋体"/>
          <w:spacing w:val="-3"/>
        </w:rPr>
        <w:t>合</w:t>
      </w:r>
      <w:r>
        <w:rPr>
          <w:rFonts w:hint="eastAsia" w:ascii="宋体" w:hAnsi="宋体" w:cs="宋体"/>
        </w:rPr>
        <w:t>同</w:t>
      </w:r>
      <w:r>
        <w:rPr>
          <w:rFonts w:hint="eastAsia" w:ascii="宋体" w:hAnsi="宋体" w:cs="宋体"/>
          <w:spacing w:val="-3"/>
        </w:rPr>
        <w:t>约</w:t>
      </w:r>
      <w:r>
        <w:rPr>
          <w:rFonts w:hint="eastAsia" w:ascii="宋体" w:hAnsi="宋体" w:cs="宋体"/>
        </w:rPr>
        <w:t>定</w:t>
      </w:r>
      <w:r>
        <w:rPr>
          <w:rFonts w:hint="eastAsia" w:ascii="宋体" w:hAnsi="宋体" w:cs="宋体"/>
          <w:spacing w:val="-3"/>
        </w:rPr>
        <w:t>的</w:t>
      </w:r>
      <w:r>
        <w:rPr>
          <w:rFonts w:hint="eastAsia" w:ascii="宋体" w:hAnsi="宋体" w:cs="宋体"/>
        </w:rPr>
        <w:t>期</w:t>
      </w:r>
      <w:r>
        <w:rPr>
          <w:rFonts w:hint="eastAsia" w:ascii="宋体" w:hAnsi="宋体" w:cs="宋体"/>
          <w:spacing w:val="-3"/>
        </w:rPr>
        <w:t>限内</w:t>
      </w:r>
      <w:r>
        <w:rPr>
          <w:rFonts w:hint="eastAsia" w:ascii="宋体" w:hAnsi="宋体" w:cs="宋体"/>
        </w:rPr>
        <w:t>完成</w:t>
      </w:r>
      <w:r>
        <w:rPr>
          <w:rFonts w:hint="eastAsia" w:ascii="宋体" w:hAnsi="宋体" w:cs="宋体"/>
          <w:spacing w:val="-3"/>
        </w:rPr>
        <w:t>合</w:t>
      </w:r>
      <w:r>
        <w:rPr>
          <w:rFonts w:hint="eastAsia" w:ascii="宋体" w:hAnsi="宋体" w:cs="宋体"/>
        </w:rPr>
        <w:t>同</w:t>
      </w:r>
      <w:r>
        <w:rPr>
          <w:rFonts w:hint="eastAsia" w:ascii="宋体" w:hAnsi="宋体" w:cs="宋体"/>
          <w:spacing w:val="-3"/>
        </w:rPr>
        <w:t>规</w:t>
      </w:r>
      <w:r>
        <w:rPr>
          <w:rFonts w:hint="eastAsia" w:ascii="宋体" w:hAnsi="宋体" w:cs="宋体"/>
        </w:rPr>
        <w:t>定</w:t>
      </w:r>
      <w:r>
        <w:rPr>
          <w:rFonts w:hint="eastAsia" w:ascii="宋体" w:hAnsi="宋体" w:cs="宋体"/>
          <w:spacing w:val="-3"/>
        </w:rPr>
        <w:t>的</w:t>
      </w:r>
      <w:r>
        <w:rPr>
          <w:rFonts w:hint="eastAsia" w:ascii="宋体" w:hAnsi="宋体" w:cs="宋体"/>
        </w:rPr>
        <w:t>全</w:t>
      </w:r>
      <w:r>
        <w:rPr>
          <w:rFonts w:hint="eastAsia" w:ascii="宋体" w:hAnsi="宋体" w:cs="宋体"/>
          <w:spacing w:val="-3"/>
        </w:rPr>
        <w:t>部</w:t>
      </w:r>
      <w:r>
        <w:rPr>
          <w:rFonts w:hint="eastAsia" w:ascii="宋体" w:hAnsi="宋体" w:cs="宋体"/>
        </w:rPr>
        <w:t>义</w:t>
      </w:r>
      <w:r>
        <w:rPr>
          <w:rFonts w:hint="eastAsia" w:ascii="宋体" w:hAnsi="宋体" w:cs="宋体"/>
          <w:spacing w:val="-3"/>
        </w:rPr>
        <w:t>务</w:t>
      </w:r>
      <w:r>
        <w:rPr>
          <w:rFonts w:hint="eastAsia" w:ascii="宋体" w:hAnsi="宋体" w:cs="宋体"/>
        </w:rPr>
        <w:t>。</w:t>
      </w:r>
    </w:p>
    <w:p>
      <w:pPr>
        <w:pBdr>
          <w:top w:val="none" w:color="000000" w:sz="0" w:space="3"/>
          <w:left w:val="none" w:color="000000" w:sz="0" w:space="3"/>
          <w:bottom w:val="none" w:color="000000" w:sz="0" w:space="3"/>
          <w:right w:val="none" w:color="000000" w:sz="0" w:space="3"/>
        </w:pBdr>
        <w:spacing w:line="360" w:lineRule="auto"/>
        <w:ind w:firstLine="240" w:firstLineChars="100"/>
        <w:rPr>
          <w:rFonts w:ascii="宋体" w:hAnsi="宋体" w:cs="宋体"/>
        </w:rPr>
      </w:pPr>
      <w:r>
        <w:rPr>
          <w:rFonts w:hint="eastAsia" w:ascii="宋体" w:hAnsi="宋体" w:cs="宋体"/>
        </w:rPr>
        <w:t>5</w:t>
      </w:r>
      <w:r>
        <w:rPr>
          <w:rFonts w:hint="eastAsia" w:ascii="宋体" w:hAnsi="宋体" w:cs="宋体"/>
          <w:spacing w:val="-18"/>
        </w:rPr>
        <w:t>．</w:t>
      </w:r>
      <w:r>
        <w:rPr>
          <w:rFonts w:hint="eastAsia" w:ascii="宋体" w:hAnsi="宋体" w:cs="宋体"/>
          <w:spacing w:val="-3"/>
        </w:rPr>
        <w:t>我</w:t>
      </w:r>
      <w:r>
        <w:rPr>
          <w:rFonts w:hint="eastAsia" w:ascii="宋体" w:hAnsi="宋体" w:cs="宋体"/>
        </w:rPr>
        <w:t>方</w:t>
      </w:r>
      <w:r>
        <w:rPr>
          <w:rFonts w:hint="eastAsia" w:ascii="宋体" w:hAnsi="宋体" w:cs="宋体"/>
          <w:spacing w:val="-3"/>
        </w:rPr>
        <w:t>在</w:t>
      </w:r>
      <w:r>
        <w:rPr>
          <w:rFonts w:hint="eastAsia" w:ascii="宋体" w:hAnsi="宋体" w:cs="宋体"/>
        </w:rPr>
        <w:t>此</w:t>
      </w:r>
      <w:r>
        <w:rPr>
          <w:rFonts w:hint="eastAsia" w:ascii="宋体" w:hAnsi="宋体" w:cs="宋体"/>
          <w:spacing w:val="-3"/>
        </w:rPr>
        <w:t>声</w:t>
      </w:r>
      <w:r>
        <w:rPr>
          <w:rFonts w:hint="eastAsia" w:ascii="宋体" w:hAnsi="宋体" w:cs="宋体"/>
        </w:rPr>
        <w:t>明</w:t>
      </w:r>
      <w:r>
        <w:rPr>
          <w:rFonts w:hint="eastAsia" w:ascii="宋体" w:hAnsi="宋体" w:cs="宋体"/>
          <w:spacing w:val="-18"/>
        </w:rPr>
        <w:t>，</w:t>
      </w:r>
      <w:r>
        <w:rPr>
          <w:rFonts w:hint="eastAsia" w:ascii="宋体" w:hAnsi="宋体" w:cs="宋体"/>
          <w:spacing w:val="-3"/>
        </w:rPr>
        <w:t>所</w:t>
      </w:r>
      <w:r>
        <w:rPr>
          <w:rFonts w:hint="eastAsia" w:ascii="宋体" w:hAnsi="宋体" w:cs="宋体"/>
        </w:rPr>
        <w:t>递</w:t>
      </w:r>
      <w:r>
        <w:rPr>
          <w:rFonts w:hint="eastAsia" w:ascii="宋体" w:hAnsi="宋体" w:cs="宋体"/>
          <w:spacing w:val="-3"/>
        </w:rPr>
        <w:t>交</w:t>
      </w:r>
      <w:r>
        <w:rPr>
          <w:rFonts w:hint="eastAsia" w:ascii="宋体" w:hAnsi="宋体" w:cs="宋体"/>
        </w:rPr>
        <w:t>的报价文</w:t>
      </w:r>
      <w:r>
        <w:rPr>
          <w:rFonts w:hint="eastAsia" w:ascii="宋体" w:hAnsi="宋体" w:cs="宋体"/>
          <w:spacing w:val="-3"/>
        </w:rPr>
        <w:t>件</w:t>
      </w:r>
      <w:r>
        <w:rPr>
          <w:rFonts w:hint="eastAsia" w:ascii="宋体" w:hAnsi="宋体" w:cs="宋体"/>
        </w:rPr>
        <w:t>及</w:t>
      </w:r>
      <w:r>
        <w:rPr>
          <w:rFonts w:hint="eastAsia" w:ascii="宋体" w:hAnsi="宋体" w:cs="宋体"/>
          <w:spacing w:val="-3"/>
        </w:rPr>
        <w:t>有</w:t>
      </w:r>
      <w:r>
        <w:rPr>
          <w:rFonts w:hint="eastAsia" w:ascii="宋体" w:hAnsi="宋体" w:cs="宋体"/>
        </w:rPr>
        <w:t>关</w:t>
      </w:r>
      <w:r>
        <w:rPr>
          <w:rFonts w:hint="eastAsia" w:ascii="宋体" w:hAnsi="宋体" w:cs="宋体"/>
          <w:spacing w:val="-3"/>
        </w:rPr>
        <w:t>资</w:t>
      </w:r>
      <w:r>
        <w:rPr>
          <w:rFonts w:hint="eastAsia" w:ascii="宋体" w:hAnsi="宋体" w:cs="宋体"/>
        </w:rPr>
        <w:t>料</w:t>
      </w:r>
      <w:r>
        <w:rPr>
          <w:rFonts w:hint="eastAsia" w:ascii="宋体" w:hAnsi="宋体" w:cs="宋体"/>
          <w:spacing w:val="-3"/>
        </w:rPr>
        <w:t>内</w:t>
      </w:r>
      <w:r>
        <w:rPr>
          <w:rFonts w:hint="eastAsia" w:ascii="宋体" w:hAnsi="宋体" w:cs="宋体"/>
        </w:rPr>
        <w:t>容完</w:t>
      </w:r>
      <w:r>
        <w:rPr>
          <w:rFonts w:hint="eastAsia" w:ascii="宋体" w:hAnsi="宋体" w:cs="宋体"/>
          <w:spacing w:val="-3"/>
        </w:rPr>
        <w:t>整</w:t>
      </w:r>
      <w:r>
        <w:rPr>
          <w:rFonts w:hint="eastAsia" w:ascii="宋体" w:hAnsi="宋体" w:cs="宋体"/>
          <w:spacing w:val="-18"/>
        </w:rPr>
        <w:t>、</w:t>
      </w:r>
      <w:r>
        <w:rPr>
          <w:rFonts w:hint="eastAsia" w:ascii="宋体" w:hAnsi="宋体" w:cs="宋体"/>
          <w:spacing w:val="-3"/>
        </w:rPr>
        <w:t>真</w:t>
      </w:r>
      <w:r>
        <w:rPr>
          <w:rFonts w:hint="eastAsia" w:ascii="宋体" w:hAnsi="宋体" w:cs="宋体"/>
        </w:rPr>
        <w:t>实</w:t>
      </w:r>
      <w:r>
        <w:rPr>
          <w:rFonts w:hint="eastAsia" w:ascii="宋体" w:hAnsi="宋体" w:cs="宋体"/>
          <w:spacing w:val="-3"/>
        </w:rPr>
        <w:t>和</w:t>
      </w:r>
      <w:r>
        <w:rPr>
          <w:rFonts w:hint="eastAsia" w:ascii="宋体" w:hAnsi="宋体" w:cs="宋体"/>
        </w:rPr>
        <w:t>准</w:t>
      </w:r>
      <w:r>
        <w:rPr>
          <w:rFonts w:hint="eastAsia" w:ascii="宋体" w:hAnsi="宋体" w:cs="宋体"/>
          <w:spacing w:val="-3"/>
        </w:rPr>
        <w:t>确</w:t>
      </w:r>
      <w:r>
        <w:rPr>
          <w:rFonts w:hint="eastAsia" w:ascii="宋体" w:hAnsi="宋体" w:cs="宋体"/>
        </w:rPr>
        <w:t>。</w:t>
      </w:r>
    </w:p>
    <w:p>
      <w:pPr>
        <w:pBdr>
          <w:top w:val="none" w:color="000000" w:sz="0" w:space="3"/>
          <w:left w:val="none" w:color="000000" w:sz="0" w:space="3"/>
          <w:bottom w:val="none" w:color="000000" w:sz="0" w:space="3"/>
          <w:right w:val="none" w:color="000000" w:sz="0" w:space="3"/>
        </w:pBdr>
        <w:spacing w:line="360" w:lineRule="auto"/>
        <w:ind w:firstLine="240" w:firstLineChars="100"/>
        <w:rPr>
          <w:rFonts w:ascii="宋体" w:hAnsi="宋体"/>
        </w:rPr>
      </w:pPr>
      <w:r>
        <w:rPr>
          <w:rFonts w:hint="eastAsia" w:ascii="宋体" w:hAnsi="宋体" w:cs="宋体"/>
        </w:rPr>
        <w:t>6．</w:t>
      </w:r>
      <w:r>
        <w:rPr>
          <w:rFonts w:hint="eastAsia" w:ascii="宋体" w:hAnsi="宋体" w:cs="宋体"/>
          <w:u w:val="single"/>
        </w:rPr>
        <w:tab/>
      </w:r>
      <w:r>
        <w:rPr>
          <w:rFonts w:hint="eastAsia" w:ascii="宋体" w:hAnsi="宋体" w:cs="宋体"/>
          <w:u w:val="single"/>
        </w:rPr>
        <w:t xml:space="preserve">     </w:t>
      </w:r>
      <w:r>
        <w:rPr>
          <w:rFonts w:hint="eastAsia" w:ascii="宋体" w:hAnsi="宋体" w:cs="宋体"/>
        </w:rPr>
        <w:t>（其</w:t>
      </w:r>
      <w:r>
        <w:rPr>
          <w:rFonts w:hint="eastAsia" w:ascii="宋体" w:hAnsi="宋体" w:cs="宋体"/>
          <w:spacing w:val="-3"/>
        </w:rPr>
        <w:t>他</w:t>
      </w:r>
      <w:r>
        <w:rPr>
          <w:rFonts w:hint="eastAsia" w:ascii="宋体" w:hAnsi="宋体" w:cs="宋体"/>
        </w:rPr>
        <w:t>补</w:t>
      </w:r>
      <w:r>
        <w:rPr>
          <w:rFonts w:hint="eastAsia" w:ascii="宋体" w:hAnsi="宋体" w:cs="宋体"/>
          <w:spacing w:val="-3"/>
        </w:rPr>
        <w:t>充</w:t>
      </w:r>
      <w:r>
        <w:rPr>
          <w:rFonts w:hint="eastAsia" w:ascii="宋体" w:hAnsi="宋体" w:cs="宋体"/>
        </w:rPr>
        <w:t>说</w:t>
      </w:r>
      <w:r>
        <w:rPr>
          <w:rFonts w:hint="eastAsia" w:ascii="宋体" w:hAnsi="宋体" w:cs="宋体"/>
          <w:spacing w:val="-3"/>
        </w:rPr>
        <w:t>明</w:t>
      </w:r>
      <w:r>
        <w:rPr>
          <w:rFonts w:hint="eastAsia" w:ascii="宋体" w:hAnsi="宋体" w:cs="宋体"/>
          <w:spacing w:val="-42"/>
        </w:rPr>
        <w:t>）</w:t>
      </w:r>
      <w:r>
        <w:rPr>
          <w:rFonts w:hint="eastAsia" w:ascii="宋体" w:hAnsi="宋体" w:cs="宋体"/>
        </w:rPr>
        <w:t>。</w:t>
      </w:r>
    </w:p>
    <w:p>
      <w:pPr>
        <w:pBdr>
          <w:top w:val="none" w:color="000000" w:sz="0" w:space="3"/>
          <w:left w:val="none" w:color="000000" w:sz="0" w:space="3"/>
          <w:bottom w:val="none" w:color="000000" w:sz="0" w:space="3"/>
          <w:right w:val="none" w:color="000000" w:sz="0" w:space="3"/>
        </w:pBdr>
        <w:tabs>
          <w:tab w:val="left" w:pos="631"/>
          <w:tab w:val="left" w:pos="1471"/>
          <w:tab w:val="left" w:pos="2311"/>
        </w:tabs>
        <w:spacing w:before="68"/>
        <w:ind w:right="118"/>
        <w:jc w:val="right"/>
        <w:rPr>
          <w:rFonts w:cs="宋体" w:asciiTheme="minorEastAsia" w:hAnsiTheme="minorEastAsia" w:eastAsiaTheme="minorEastAsia"/>
          <w:color w:val="000000" w:themeColor="text1"/>
          <w:sz w:val="21"/>
          <w:szCs w:val="21"/>
          <w14:textFill>
            <w14:solidFill>
              <w14:schemeClr w14:val="tx1"/>
            </w14:solidFill>
          </w14:textFill>
        </w:rPr>
      </w:pPr>
      <w:r>
        <w:rPr>
          <w:rFonts w:hint="eastAsia" w:ascii="宋体" w:hAnsi="宋体" w:cs="宋体"/>
        </w:rPr>
        <w:t xml:space="preserve">                   投标单位名称</w:t>
      </w:r>
      <w:r>
        <w:rPr>
          <w:rFonts w:hint="eastAsia" w:ascii="宋体" w:hAnsi="宋体" w:cs="宋体"/>
          <w:spacing w:val="-3"/>
        </w:rPr>
        <w:t>：</w:t>
      </w:r>
      <w:r>
        <w:rPr>
          <w:rFonts w:hint="eastAsia" w:ascii="宋体" w:hAnsi="宋体" w:cs="宋体"/>
          <w:spacing w:val="-3"/>
          <w:u w:val="single"/>
        </w:rPr>
        <w:tab/>
      </w:r>
      <w:r>
        <w:rPr>
          <w:rFonts w:hint="eastAsia" w:ascii="宋体" w:hAnsi="宋体" w:cs="宋体"/>
          <w:spacing w:val="-3"/>
          <w:u w:val="single"/>
        </w:rPr>
        <w:t xml:space="preserve">                             </w:t>
      </w:r>
      <w:r>
        <w:rPr>
          <w:rFonts w:hint="eastAsia" w:ascii="宋体" w:hAnsi="宋体" w:cs="宋体"/>
        </w:rPr>
        <w:t>（盖</w:t>
      </w:r>
      <w:r>
        <w:rPr>
          <w:rFonts w:hint="eastAsia" w:ascii="宋体" w:hAnsi="宋体" w:cs="宋体"/>
          <w:spacing w:val="-3"/>
        </w:rPr>
        <w:t>单</w:t>
      </w:r>
      <w:r>
        <w:rPr>
          <w:rFonts w:hint="eastAsia" w:ascii="宋体" w:hAnsi="宋体" w:cs="宋体"/>
        </w:rPr>
        <w:t>位</w:t>
      </w:r>
      <w:r>
        <w:rPr>
          <w:rFonts w:hint="eastAsia" w:ascii="宋体" w:hAnsi="宋体" w:cs="宋体"/>
          <w:spacing w:val="-3"/>
        </w:rPr>
        <w:t>章</w:t>
      </w:r>
      <w:r>
        <w:rPr>
          <w:rFonts w:hint="eastAsia" w:ascii="宋体" w:hAnsi="宋体" w:cs="宋体"/>
        </w:rPr>
        <w:t>）</w:t>
      </w:r>
    </w:p>
    <w:p>
      <w:pPr>
        <w:spacing w:line="300" w:lineRule="auto"/>
        <w:rPr>
          <w:rFonts w:asciiTheme="minorEastAsia" w:hAnsiTheme="minorEastAsia" w:eastAsiaTheme="minorEastAsia"/>
          <w:b/>
          <w:bCs/>
          <w:color w:val="000000" w:themeColor="text1"/>
          <w14:textFill>
            <w14:solidFill>
              <w14:schemeClr w14:val="tx1"/>
            </w14:solidFill>
          </w14:textFill>
        </w:rPr>
        <w:sectPr>
          <w:headerReference r:id="rId11" w:type="default"/>
          <w:endnotePr>
            <w:numFmt w:val="decimal"/>
          </w:endnotePr>
          <w:pgSz w:w="12240" w:h="15840"/>
          <w:pgMar w:top="1587" w:right="1417" w:bottom="1587" w:left="1417" w:header="850" w:footer="567" w:gutter="0"/>
          <w:cols w:space="0" w:num="1"/>
        </w:sectPr>
      </w:pPr>
    </w:p>
    <w:p>
      <w:pPr>
        <w:pStyle w:val="5"/>
        <w:jc w:val="center"/>
        <w:rPr>
          <w:szCs w:val="28"/>
        </w:rPr>
      </w:pPr>
      <w:bookmarkStart w:id="290" w:name="_bookmark157"/>
      <w:bookmarkEnd w:id="290"/>
      <w:bookmarkStart w:id="291" w:name="_Toc76730587"/>
      <w:bookmarkStart w:id="292" w:name="_Toc65848132"/>
      <w:bookmarkStart w:id="293" w:name="_Toc8759"/>
      <w:bookmarkStart w:id="294" w:name="_Toc24160"/>
      <w:bookmarkStart w:id="295" w:name="_Toc12437"/>
      <w:bookmarkStart w:id="296" w:name="_Toc70345068"/>
      <w:bookmarkStart w:id="297" w:name="_Toc42237258"/>
      <w:r>
        <w:rPr>
          <w:szCs w:val="28"/>
        </w:rPr>
        <w:t>二、法定代表人（单位负责人）身份证明</w:t>
      </w:r>
      <w:bookmarkEnd w:id="291"/>
      <w:bookmarkEnd w:id="292"/>
      <w:bookmarkEnd w:id="293"/>
    </w:p>
    <w:p>
      <w:pPr>
        <w:tabs>
          <w:tab w:val="left" w:pos="1068"/>
        </w:tabs>
        <w:spacing w:line="360" w:lineRule="auto"/>
        <w:rPr>
          <w:rFonts w:ascii="Times New Roman" w:hAnsi="Times New Roman"/>
          <w:sz w:val="21"/>
          <w:szCs w:val="21"/>
        </w:rPr>
      </w:pPr>
    </w:p>
    <w:p>
      <w:pPr>
        <w:tabs>
          <w:tab w:val="left" w:pos="1068"/>
        </w:tabs>
        <w:spacing w:line="360" w:lineRule="auto"/>
        <w:rPr>
          <w:rFonts w:ascii="Times New Roman" w:hAnsi="Times New Roman"/>
          <w:sz w:val="21"/>
          <w:szCs w:val="21"/>
        </w:rPr>
      </w:pPr>
    </w:p>
    <w:p>
      <w:pPr>
        <w:tabs>
          <w:tab w:val="left" w:pos="1068"/>
        </w:tabs>
        <w:spacing w:line="360" w:lineRule="auto"/>
        <w:ind w:firstLine="420" w:firstLineChars="200"/>
        <w:rPr>
          <w:rFonts w:ascii="Times New Roman" w:hAnsi="Times New Roman"/>
          <w:sz w:val="21"/>
          <w:szCs w:val="21"/>
        </w:rPr>
      </w:pPr>
      <w:r>
        <w:rPr>
          <w:rFonts w:ascii="Times New Roman" w:hAnsi="Times New Roman"/>
          <w:sz w:val="21"/>
          <w:szCs w:val="21"/>
        </w:rPr>
        <w:t>投标人名称：______________</w:t>
      </w:r>
    </w:p>
    <w:p>
      <w:pPr>
        <w:tabs>
          <w:tab w:val="left" w:pos="1068"/>
        </w:tabs>
        <w:spacing w:line="360" w:lineRule="auto"/>
        <w:rPr>
          <w:rFonts w:ascii="Times New Roman" w:hAnsi="Times New Roman"/>
          <w:sz w:val="21"/>
          <w:szCs w:val="21"/>
        </w:rPr>
      </w:pPr>
    </w:p>
    <w:p>
      <w:pPr>
        <w:tabs>
          <w:tab w:val="left" w:pos="1068"/>
        </w:tabs>
        <w:spacing w:line="360" w:lineRule="auto"/>
        <w:ind w:firstLine="420" w:firstLineChars="200"/>
        <w:rPr>
          <w:rFonts w:ascii="Times New Roman" w:hAnsi="Times New Roman"/>
          <w:sz w:val="21"/>
          <w:szCs w:val="21"/>
        </w:rPr>
      </w:pPr>
      <w:r>
        <w:rPr>
          <w:rFonts w:ascii="Times New Roman" w:hAnsi="Times New Roman"/>
          <w:sz w:val="21"/>
          <w:szCs w:val="21"/>
        </w:rPr>
        <w:t>姓名：________性别：________年龄：_________职务：________</w:t>
      </w:r>
    </w:p>
    <w:p>
      <w:pPr>
        <w:tabs>
          <w:tab w:val="left" w:pos="1068"/>
        </w:tabs>
        <w:spacing w:line="360" w:lineRule="auto"/>
        <w:rPr>
          <w:rFonts w:ascii="Times New Roman" w:hAnsi="Times New Roman"/>
          <w:sz w:val="21"/>
          <w:szCs w:val="21"/>
        </w:rPr>
      </w:pPr>
    </w:p>
    <w:p>
      <w:pPr>
        <w:tabs>
          <w:tab w:val="left" w:pos="1068"/>
        </w:tabs>
        <w:spacing w:line="360" w:lineRule="auto"/>
        <w:ind w:firstLine="420" w:firstLineChars="200"/>
        <w:rPr>
          <w:rFonts w:ascii="Times New Roman" w:hAnsi="Times New Roman"/>
          <w:sz w:val="21"/>
          <w:szCs w:val="21"/>
        </w:rPr>
      </w:pPr>
      <w:r>
        <w:rPr>
          <w:rFonts w:ascii="Times New Roman" w:hAnsi="Times New Roman"/>
          <w:sz w:val="21"/>
          <w:szCs w:val="21"/>
        </w:rPr>
        <w:t>系_________</w:t>
      </w:r>
      <w:r>
        <w:rPr>
          <w:rFonts w:hint="eastAsia" w:ascii="Times New Roman" w:hAnsi="Times New Roman"/>
          <w:sz w:val="21"/>
          <w:szCs w:val="21"/>
        </w:rPr>
        <w:t>（</w:t>
      </w:r>
      <w:r>
        <w:rPr>
          <w:rFonts w:ascii="Times New Roman" w:hAnsi="Times New Roman"/>
          <w:sz w:val="21"/>
          <w:szCs w:val="21"/>
        </w:rPr>
        <w:t>投标人名称）的法定代表人。</w:t>
      </w:r>
    </w:p>
    <w:p>
      <w:pPr>
        <w:tabs>
          <w:tab w:val="left" w:pos="1068"/>
        </w:tabs>
        <w:spacing w:line="360" w:lineRule="auto"/>
        <w:rPr>
          <w:rFonts w:ascii="Times New Roman" w:hAnsi="Times New Roman"/>
          <w:sz w:val="21"/>
          <w:szCs w:val="21"/>
        </w:rPr>
      </w:pPr>
    </w:p>
    <w:p>
      <w:pPr>
        <w:tabs>
          <w:tab w:val="left" w:pos="1068"/>
        </w:tabs>
        <w:spacing w:line="360" w:lineRule="auto"/>
        <w:ind w:firstLine="420" w:firstLineChars="200"/>
        <w:rPr>
          <w:rFonts w:ascii="Times New Roman" w:hAnsi="Times New Roman"/>
          <w:sz w:val="21"/>
          <w:szCs w:val="21"/>
        </w:rPr>
      </w:pPr>
      <w:r>
        <w:rPr>
          <w:rFonts w:ascii="Times New Roman" w:hAnsi="Times New Roman"/>
          <w:sz w:val="21"/>
          <w:szCs w:val="21"/>
        </w:rPr>
        <w:t>特此证明。</w:t>
      </w:r>
    </w:p>
    <w:p>
      <w:pPr>
        <w:tabs>
          <w:tab w:val="left" w:pos="1068"/>
        </w:tabs>
        <w:spacing w:line="360" w:lineRule="auto"/>
        <w:rPr>
          <w:rFonts w:ascii="Times New Roman" w:hAnsi="Times New Roman"/>
          <w:sz w:val="21"/>
          <w:szCs w:val="21"/>
        </w:rPr>
      </w:pPr>
    </w:p>
    <w:p>
      <w:pPr>
        <w:tabs>
          <w:tab w:val="left" w:pos="1068"/>
        </w:tabs>
        <w:spacing w:line="360" w:lineRule="auto"/>
        <w:rPr>
          <w:rFonts w:ascii="Times New Roman" w:hAnsi="Times New Roman"/>
          <w:sz w:val="21"/>
          <w:szCs w:val="21"/>
        </w:rPr>
      </w:pPr>
    </w:p>
    <w:p>
      <w:pPr>
        <w:tabs>
          <w:tab w:val="left" w:pos="1068"/>
        </w:tabs>
        <w:spacing w:line="360" w:lineRule="auto"/>
        <w:rPr>
          <w:rFonts w:ascii="Times New Roman" w:hAnsi="Times New Roman"/>
          <w:sz w:val="21"/>
          <w:szCs w:val="21"/>
        </w:rPr>
      </w:pPr>
    </w:p>
    <w:p>
      <w:pPr>
        <w:tabs>
          <w:tab w:val="left" w:pos="1068"/>
        </w:tabs>
        <w:spacing w:line="360" w:lineRule="auto"/>
        <w:ind w:firstLine="420" w:firstLineChars="200"/>
        <w:rPr>
          <w:rFonts w:ascii="Times New Roman" w:hAnsi="Times New Roman"/>
          <w:sz w:val="21"/>
          <w:szCs w:val="21"/>
        </w:rPr>
      </w:pPr>
      <w:r>
        <w:rPr>
          <w:rFonts w:ascii="Times New Roman" w:hAnsi="Times New Roman"/>
          <w:sz w:val="21"/>
          <w:szCs w:val="21"/>
        </w:rPr>
        <w:t>附：法定代表人身份证原件扫描件。 注：本身份证明需由投标人加盖单位公章。</w:t>
      </w:r>
    </w:p>
    <w:p>
      <w:pPr>
        <w:tabs>
          <w:tab w:val="left" w:pos="1068"/>
        </w:tabs>
        <w:spacing w:line="360" w:lineRule="auto"/>
        <w:rPr>
          <w:rFonts w:ascii="Times New Roman" w:hAnsi="Times New Roman"/>
          <w:sz w:val="21"/>
          <w:szCs w:val="21"/>
        </w:rPr>
      </w:pPr>
    </w:p>
    <w:p>
      <w:pPr>
        <w:tabs>
          <w:tab w:val="left" w:pos="1068"/>
        </w:tabs>
        <w:spacing w:line="360" w:lineRule="auto"/>
        <w:rPr>
          <w:rFonts w:ascii="Times New Roman" w:hAnsi="Times New Roman"/>
          <w:sz w:val="21"/>
          <w:szCs w:val="21"/>
        </w:rPr>
      </w:pPr>
    </w:p>
    <w:p>
      <w:pPr>
        <w:tabs>
          <w:tab w:val="left" w:pos="1068"/>
        </w:tabs>
        <w:spacing w:line="360" w:lineRule="auto"/>
        <w:rPr>
          <w:rFonts w:ascii="Times New Roman" w:hAnsi="Times New Roman"/>
          <w:sz w:val="21"/>
          <w:szCs w:val="21"/>
        </w:rPr>
      </w:pPr>
    </w:p>
    <w:p>
      <w:pPr>
        <w:tabs>
          <w:tab w:val="left" w:pos="1068"/>
        </w:tabs>
        <w:spacing w:line="360" w:lineRule="auto"/>
        <w:ind w:firstLine="420" w:firstLineChars="200"/>
        <w:rPr>
          <w:rFonts w:ascii="Times New Roman" w:hAnsi="Times New Roman"/>
          <w:sz w:val="21"/>
          <w:szCs w:val="21"/>
        </w:rPr>
      </w:pPr>
      <w:r>
        <w:rPr>
          <w:rFonts w:ascii="Times New Roman" w:hAnsi="Times New Roman"/>
          <w:sz w:val="21"/>
          <w:szCs w:val="21"/>
        </w:rPr>
        <w:t>投标人：__________（单位公章）</w:t>
      </w:r>
    </w:p>
    <w:p>
      <w:pPr>
        <w:tabs>
          <w:tab w:val="left" w:pos="1068"/>
        </w:tabs>
        <w:spacing w:line="360" w:lineRule="auto"/>
        <w:rPr>
          <w:rFonts w:ascii="Times New Roman" w:hAnsi="Times New Roman"/>
          <w:sz w:val="21"/>
          <w:szCs w:val="21"/>
        </w:rPr>
      </w:pPr>
    </w:p>
    <w:p>
      <w:pPr>
        <w:tabs>
          <w:tab w:val="left" w:pos="708"/>
        </w:tabs>
        <w:spacing w:line="360" w:lineRule="auto"/>
        <w:ind w:firstLine="420" w:firstLineChars="200"/>
        <w:rPr>
          <w:rFonts w:ascii="Times New Roman" w:hAnsi="Times New Roman"/>
          <w:sz w:val="21"/>
          <w:szCs w:val="21"/>
        </w:rPr>
      </w:pPr>
      <w:r>
        <w:rPr>
          <w:rFonts w:ascii="Times New Roman" w:hAnsi="Times New Roman"/>
          <w:sz w:val="21"/>
          <w:szCs w:val="21"/>
        </w:rPr>
        <w:t>_______ 年______月______日</w:t>
      </w:r>
    </w:p>
    <w:p>
      <w:pPr>
        <w:widowControl/>
        <w:rPr>
          <w:rFonts w:ascii="Times New Roman" w:hAnsi="Times New Roman"/>
          <w:bCs/>
          <w:sz w:val="25"/>
          <w:szCs w:val="32"/>
        </w:rPr>
      </w:pPr>
      <w:r>
        <w:rPr>
          <w:rFonts w:ascii="Times New Roman" w:hAnsi="Times New Roman"/>
          <w:b/>
          <w:sz w:val="25"/>
        </w:rPr>
        <w:br w:type="page"/>
      </w:r>
    </w:p>
    <w:p>
      <w:pPr>
        <w:pStyle w:val="5"/>
        <w:jc w:val="center"/>
      </w:pPr>
      <w:bookmarkStart w:id="298" w:name="_Toc10723"/>
      <w:r>
        <w:rPr>
          <w:rFonts w:hint="eastAsia"/>
        </w:rPr>
        <w:t>三、法定代表人授权委托书</w:t>
      </w:r>
      <w:bookmarkEnd w:id="294"/>
      <w:bookmarkEnd w:id="298"/>
    </w:p>
    <w:p>
      <w:pPr>
        <w:widowControl/>
        <w:spacing w:line="480" w:lineRule="auto"/>
        <w:ind w:firstLine="480"/>
        <w:jc w:val="both"/>
        <w:rPr>
          <w:rFonts w:ascii="宋体" w:hAnsi="宋体"/>
          <w:kern w:val="2"/>
          <w:szCs w:val="24"/>
        </w:rPr>
      </w:pPr>
    </w:p>
    <w:p>
      <w:pPr>
        <w:widowControl/>
        <w:spacing w:line="480" w:lineRule="auto"/>
        <w:ind w:firstLine="480"/>
        <w:jc w:val="both"/>
        <w:rPr>
          <w:rFonts w:ascii="宋体" w:hAnsi="宋体"/>
          <w:kern w:val="2"/>
          <w:szCs w:val="24"/>
        </w:rPr>
      </w:pPr>
      <w:r>
        <w:rPr>
          <w:rFonts w:hint="eastAsia" w:ascii="宋体" w:hAnsi="宋体"/>
          <w:kern w:val="2"/>
          <w:szCs w:val="24"/>
        </w:rPr>
        <w:t>本授权委托书声明：我</w:t>
      </w:r>
      <w:r>
        <w:rPr>
          <w:rFonts w:hint="eastAsia" w:ascii="宋体" w:hAnsi="宋体"/>
          <w:kern w:val="2"/>
          <w:szCs w:val="24"/>
          <w:u w:val="single"/>
        </w:rPr>
        <w:t>（姓名）</w:t>
      </w:r>
      <w:r>
        <w:rPr>
          <w:rFonts w:hint="eastAsia" w:ascii="宋体" w:hAnsi="宋体"/>
          <w:kern w:val="2"/>
          <w:szCs w:val="24"/>
        </w:rPr>
        <w:t>系</w:t>
      </w:r>
      <w:r>
        <w:rPr>
          <w:rFonts w:hint="eastAsia" w:ascii="宋体" w:hAnsi="宋体"/>
          <w:kern w:val="2"/>
          <w:szCs w:val="24"/>
          <w:u w:val="single"/>
        </w:rPr>
        <w:t>（投标人名称）</w:t>
      </w:r>
      <w:r>
        <w:rPr>
          <w:rFonts w:hint="eastAsia" w:ascii="宋体" w:hAnsi="宋体"/>
          <w:kern w:val="2"/>
          <w:szCs w:val="24"/>
        </w:rPr>
        <w:t>的法定代表人，现授权委托</w:t>
      </w:r>
      <w:r>
        <w:rPr>
          <w:rFonts w:hint="eastAsia" w:ascii="宋体" w:hAnsi="宋体"/>
          <w:kern w:val="2"/>
          <w:szCs w:val="24"/>
          <w:u w:val="single"/>
        </w:rPr>
        <w:t>（单位名称）</w:t>
      </w:r>
      <w:r>
        <w:rPr>
          <w:rFonts w:hint="eastAsia" w:ascii="宋体" w:hAnsi="宋体"/>
          <w:kern w:val="2"/>
          <w:szCs w:val="24"/>
        </w:rPr>
        <w:t>的</w:t>
      </w:r>
      <w:r>
        <w:rPr>
          <w:rFonts w:hint="eastAsia" w:ascii="宋体" w:hAnsi="宋体"/>
          <w:kern w:val="2"/>
          <w:szCs w:val="24"/>
          <w:u w:val="single"/>
        </w:rPr>
        <w:t>（姓名）</w:t>
      </w:r>
      <w:r>
        <w:rPr>
          <w:rFonts w:hint="eastAsia" w:ascii="宋体" w:hAnsi="宋体"/>
          <w:kern w:val="2"/>
          <w:szCs w:val="24"/>
        </w:rPr>
        <w:t>为我公司签署本项目的投标文件的法定代表人授权委托代理人，我承认代理人全权代表我们签署的本项目的投标文件的内容及其在开标、评审中所签署的一切文件和处理与之有关的一切事务。</w:t>
      </w:r>
    </w:p>
    <w:p>
      <w:pPr>
        <w:widowControl/>
        <w:spacing w:line="480" w:lineRule="auto"/>
        <w:ind w:firstLine="480"/>
        <w:jc w:val="both"/>
        <w:rPr>
          <w:rFonts w:ascii="宋体" w:hAnsi="宋体"/>
          <w:kern w:val="2"/>
          <w:szCs w:val="24"/>
        </w:rPr>
      </w:pPr>
      <w:r>
        <w:rPr>
          <w:rFonts w:hint="eastAsia" w:ascii="宋体" w:hAnsi="宋体"/>
          <w:kern w:val="2"/>
          <w:szCs w:val="24"/>
        </w:rPr>
        <w:t>代理人无转委权。特此委托。</w:t>
      </w:r>
    </w:p>
    <w:p>
      <w:pPr>
        <w:widowControl/>
        <w:spacing w:line="360" w:lineRule="auto"/>
        <w:ind w:firstLine="480"/>
        <w:jc w:val="both"/>
        <w:rPr>
          <w:rFonts w:ascii="宋体" w:hAnsi="宋体"/>
          <w:kern w:val="2"/>
          <w:szCs w:val="24"/>
        </w:rPr>
      </w:pPr>
    </w:p>
    <w:p>
      <w:pPr>
        <w:widowControl/>
        <w:spacing w:line="360" w:lineRule="auto"/>
        <w:ind w:firstLine="480"/>
        <w:jc w:val="both"/>
        <w:rPr>
          <w:rFonts w:ascii="宋体" w:hAnsi="宋体"/>
          <w:kern w:val="2"/>
          <w:szCs w:val="24"/>
        </w:rPr>
      </w:pPr>
      <w:r>
        <w:rPr>
          <w:rFonts w:hint="eastAsia" w:ascii="宋体" w:hAnsi="宋体"/>
          <w:kern w:val="2"/>
          <w:szCs w:val="24"/>
        </w:rPr>
        <w:t>代理人：（签字）                性别：              年龄：</w:t>
      </w:r>
    </w:p>
    <w:p>
      <w:pPr>
        <w:widowControl/>
        <w:spacing w:line="360" w:lineRule="auto"/>
        <w:ind w:firstLine="480"/>
        <w:jc w:val="both"/>
        <w:rPr>
          <w:rFonts w:ascii="宋体" w:hAnsi="宋体"/>
          <w:kern w:val="2"/>
          <w:szCs w:val="24"/>
        </w:rPr>
      </w:pPr>
    </w:p>
    <w:p>
      <w:pPr>
        <w:widowControl/>
        <w:spacing w:line="360" w:lineRule="auto"/>
        <w:ind w:firstLine="480"/>
        <w:jc w:val="both"/>
        <w:rPr>
          <w:rFonts w:ascii="宋体" w:hAnsi="宋体"/>
          <w:kern w:val="2"/>
          <w:szCs w:val="24"/>
        </w:rPr>
      </w:pPr>
      <w:r>
        <w:rPr>
          <w:rFonts w:hint="eastAsia" w:ascii="宋体" w:hAnsi="宋体"/>
          <w:kern w:val="2"/>
          <w:szCs w:val="24"/>
        </w:rPr>
        <w:t>身份证号码：                   职务：</w:t>
      </w:r>
    </w:p>
    <w:p>
      <w:pPr>
        <w:widowControl/>
        <w:spacing w:line="360" w:lineRule="auto"/>
        <w:ind w:firstLine="480"/>
        <w:jc w:val="both"/>
        <w:rPr>
          <w:rFonts w:ascii="宋体" w:hAnsi="宋体"/>
          <w:kern w:val="2"/>
          <w:szCs w:val="24"/>
        </w:rPr>
      </w:pPr>
      <w:r>
        <w:rPr>
          <w:rFonts w:hint="eastAsia" w:ascii="宋体" w:hAnsi="宋体"/>
          <w:kern w:val="2"/>
          <w:szCs w:val="24"/>
        </w:rPr>
        <w:t>正面                     反面</w:t>
      </w:r>
    </w:p>
    <w:p>
      <w:pPr>
        <w:widowControl/>
        <w:spacing w:line="360" w:lineRule="auto"/>
        <w:ind w:firstLine="480"/>
        <w:jc w:val="both"/>
        <w:rPr>
          <w:rFonts w:ascii="宋体" w:hAnsi="宋体"/>
          <w:kern w:val="2"/>
          <w:szCs w:val="24"/>
        </w:rPr>
      </w:pPr>
      <w:r>
        <w:rPr>
          <w:rFonts w:ascii="宋体" w:hAnsi="宋体"/>
          <w:kern w:val="2"/>
          <w:szCs w:val="24"/>
        </w:rPr>
        <w:drawing>
          <wp:inline distT="0" distB="0" distL="114300" distR="114300">
            <wp:extent cx="2597150" cy="1555750"/>
            <wp:effectExtent l="0" t="0" r="8890" b="0"/>
            <wp:docPr id="3" name="图片 3" descr="说明: wps_clip_image-3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wps_clip_image-3096"/>
                    <pic:cNvPicPr>
                      <a:picLocks noChangeAspect="1"/>
                    </pic:cNvPicPr>
                  </pic:nvPicPr>
                  <pic:blipFill>
                    <a:blip r:embed="rId17" cstate="print"/>
                    <a:stretch>
                      <a:fillRect/>
                    </a:stretch>
                  </pic:blipFill>
                  <pic:spPr>
                    <a:xfrm>
                      <a:off x="0" y="0"/>
                      <a:ext cx="2597150" cy="1555750"/>
                    </a:xfrm>
                    <a:prstGeom prst="rect">
                      <a:avLst/>
                    </a:prstGeom>
                    <a:noFill/>
                    <a:ln>
                      <a:noFill/>
                    </a:ln>
                  </pic:spPr>
                </pic:pic>
              </a:graphicData>
            </a:graphic>
          </wp:inline>
        </w:drawing>
      </w:r>
      <w:r>
        <w:rPr>
          <w:rFonts w:ascii="宋体" w:hAnsi="宋体"/>
          <w:kern w:val="2"/>
          <w:szCs w:val="24"/>
        </w:rPr>
        <w:drawing>
          <wp:inline distT="0" distB="0" distL="114300" distR="114300">
            <wp:extent cx="2608580" cy="1562735"/>
            <wp:effectExtent l="0" t="0" r="12700" b="0"/>
            <wp:docPr id="4" name="图片 4" descr="说明: wps_clip_image-3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说明: wps_clip_image-3096"/>
                    <pic:cNvPicPr>
                      <a:picLocks noChangeAspect="1"/>
                    </pic:cNvPicPr>
                  </pic:nvPicPr>
                  <pic:blipFill>
                    <a:blip r:embed="rId17" cstate="print"/>
                    <a:stretch>
                      <a:fillRect/>
                    </a:stretch>
                  </pic:blipFill>
                  <pic:spPr>
                    <a:xfrm>
                      <a:off x="0" y="0"/>
                      <a:ext cx="2608580" cy="1562735"/>
                    </a:xfrm>
                    <a:prstGeom prst="rect">
                      <a:avLst/>
                    </a:prstGeom>
                    <a:noFill/>
                    <a:ln>
                      <a:noFill/>
                    </a:ln>
                  </pic:spPr>
                </pic:pic>
              </a:graphicData>
            </a:graphic>
          </wp:inline>
        </w:drawing>
      </w:r>
    </w:p>
    <w:p>
      <w:pPr>
        <w:widowControl/>
        <w:spacing w:line="360" w:lineRule="auto"/>
        <w:ind w:firstLine="480"/>
        <w:jc w:val="both"/>
        <w:rPr>
          <w:rFonts w:ascii="宋体" w:hAnsi="宋体"/>
          <w:kern w:val="2"/>
          <w:szCs w:val="24"/>
        </w:rPr>
      </w:pPr>
      <w:r>
        <w:rPr>
          <w:rFonts w:hint="eastAsia" w:ascii="宋体" w:hAnsi="宋体"/>
          <w:kern w:val="2"/>
          <w:szCs w:val="24"/>
        </w:rPr>
        <w:t>投标人（盖章）：</w:t>
      </w:r>
    </w:p>
    <w:p>
      <w:pPr>
        <w:widowControl/>
        <w:spacing w:line="360" w:lineRule="auto"/>
        <w:ind w:firstLine="480"/>
        <w:jc w:val="both"/>
        <w:rPr>
          <w:rFonts w:ascii="宋体" w:hAnsi="宋体"/>
          <w:kern w:val="2"/>
          <w:szCs w:val="24"/>
        </w:rPr>
      </w:pPr>
      <w:r>
        <w:rPr>
          <w:rFonts w:hint="eastAsia" w:ascii="宋体" w:hAnsi="宋体"/>
          <w:kern w:val="2"/>
          <w:szCs w:val="24"/>
        </w:rPr>
        <w:t>法定代表人：（签字或盖章）</w:t>
      </w:r>
    </w:p>
    <w:p>
      <w:pPr>
        <w:widowControl/>
        <w:spacing w:line="360" w:lineRule="auto"/>
        <w:ind w:firstLine="480"/>
        <w:jc w:val="both"/>
        <w:rPr>
          <w:rFonts w:ascii="宋体" w:hAnsi="宋体"/>
          <w:kern w:val="2"/>
          <w:szCs w:val="24"/>
        </w:rPr>
      </w:pPr>
      <w:r>
        <w:rPr>
          <w:rFonts w:hint="eastAsia" w:ascii="宋体" w:hAnsi="宋体"/>
          <w:kern w:val="2"/>
          <w:szCs w:val="24"/>
        </w:rPr>
        <w:t>授权委托日期：     年     月     日</w:t>
      </w:r>
    </w:p>
    <w:p>
      <w:pPr>
        <w:widowControl/>
        <w:spacing w:line="360" w:lineRule="auto"/>
        <w:ind w:firstLine="480"/>
        <w:jc w:val="both"/>
        <w:rPr>
          <w:rFonts w:ascii="宋体" w:hAnsi="宋体"/>
          <w:kern w:val="2"/>
          <w:szCs w:val="24"/>
        </w:rPr>
      </w:pPr>
    </w:p>
    <w:p>
      <w:pPr>
        <w:widowControl/>
        <w:spacing w:line="360" w:lineRule="auto"/>
        <w:jc w:val="both"/>
        <w:rPr>
          <w:rFonts w:ascii="宋体" w:hAnsi="宋体"/>
          <w:kern w:val="2"/>
          <w:szCs w:val="24"/>
        </w:rPr>
      </w:pPr>
      <w:r>
        <w:rPr>
          <w:rFonts w:hint="eastAsia" w:ascii="宋体" w:hAnsi="宋体"/>
          <w:kern w:val="2"/>
          <w:szCs w:val="24"/>
        </w:rPr>
        <w:t>注：法定代表人授权委托书除装订在投标文件内，请再单独准备一份原件，以便于开标时查验。</w:t>
      </w:r>
    </w:p>
    <w:p>
      <w:pPr>
        <w:spacing w:line="360" w:lineRule="auto"/>
        <w:jc w:val="center"/>
        <w:rPr>
          <w:rFonts w:ascii="宋体" w:hAnsi="宋体"/>
          <w:b/>
          <w:color w:val="000000"/>
          <w:kern w:val="2"/>
          <w:sz w:val="30"/>
          <w:szCs w:val="30"/>
        </w:rPr>
      </w:pPr>
    </w:p>
    <w:p>
      <w:pPr>
        <w:pStyle w:val="18"/>
        <w:rPr>
          <w:rFonts w:asciiTheme="minorEastAsia" w:hAnsiTheme="minorEastAsia" w:eastAsiaTheme="minorEastAsia"/>
          <w:b/>
          <w:bCs/>
          <w:color w:val="000000" w:themeColor="text1"/>
          <w:szCs w:val="32"/>
          <w14:textFill>
            <w14:solidFill>
              <w14:schemeClr w14:val="tx1"/>
            </w14:solidFill>
          </w14:textFill>
        </w:rPr>
      </w:pPr>
    </w:p>
    <w:p>
      <w:pPr>
        <w:pStyle w:val="5"/>
      </w:pPr>
      <w:bookmarkStart w:id="299" w:name="_Toc21080"/>
      <w:bookmarkStart w:id="300" w:name="_Toc22677"/>
      <w:bookmarkStart w:id="301" w:name="_Toc28113"/>
      <w:bookmarkStart w:id="302" w:name="_Toc24837"/>
      <w:bookmarkStart w:id="303" w:name="_Toc28839"/>
      <w:bookmarkStart w:id="304" w:name="_Toc65848135"/>
      <w:bookmarkStart w:id="305" w:name="_Toc24381"/>
      <w:r>
        <w:t>四、投标保证金</w:t>
      </w:r>
      <w:bookmarkEnd w:id="299"/>
      <w:bookmarkEnd w:id="300"/>
      <w:bookmarkEnd w:id="301"/>
      <w:bookmarkEnd w:id="302"/>
      <w:bookmarkEnd w:id="303"/>
      <w:bookmarkEnd w:id="304"/>
      <w:bookmarkEnd w:id="305"/>
    </w:p>
    <w:p>
      <w:pPr>
        <w:pStyle w:val="5"/>
      </w:pPr>
      <w:bookmarkStart w:id="306" w:name="_Toc591"/>
      <w:bookmarkStart w:id="307" w:name="_Toc27443"/>
      <w:bookmarkStart w:id="308" w:name="_Toc31253"/>
      <w:bookmarkStart w:id="309" w:name="_Toc3058"/>
      <w:r>
        <w:t>若采用现金或支票，投标人应在此提供汇款凭证的原件扫描件。</w:t>
      </w:r>
      <w:bookmarkEnd w:id="306"/>
      <w:bookmarkEnd w:id="307"/>
      <w:bookmarkEnd w:id="308"/>
      <w:bookmarkEnd w:id="309"/>
      <w:r>
        <w:t xml:space="preserve"> </w:t>
      </w: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bookmarkStart w:id="310" w:name="_Toc65848136"/>
      <w:bookmarkStart w:id="311" w:name="_Toc29224"/>
      <w:bookmarkStart w:id="312" w:name="_Toc1682"/>
      <w:bookmarkStart w:id="313" w:name="_Toc12250"/>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12"/>
        <w:spacing w:line="300" w:lineRule="auto"/>
        <w:ind w:left="480"/>
        <w:rPr>
          <w:rFonts w:asciiTheme="minorEastAsia" w:hAnsiTheme="minorEastAsia" w:eastAsiaTheme="minorEastAsia"/>
        </w:rPr>
      </w:pPr>
    </w:p>
    <w:p>
      <w:pPr>
        <w:pStyle w:val="5"/>
      </w:pPr>
      <w:bookmarkStart w:id="314" w:name="_Toc28961"/>
      <w:bookmarkStart w:id="315" w:name="_Toc3806"/>
      <w:bookmarkStart w:id="316" w:name="_Toc31028"/>
      <w:r>
        <w:t>五、商务和技术偏差表</w:t>
      </w:r>
      <w:bookmarkEnd w:id="310"/>
      <w:bookmarkEnd w:id="311"/>
      <w:bookmarkEnd w:id="312"/>
      <w:bookmarkEnd w:id="313"/>
      <w:bookmarkEnd w:id="314"/>
      <w:bookmarkEnd w:id="315"/>
      <w:bookmarkEnd w:id="316"/>
    </w:p>
    <w:p>
      <w:pPr>
        <w:spacing w:line="300" w:lineRule="auto"/>
        <w:rPr>
          <w:rFonts w:asciiTheme="minorEastAsia" w:hAnsiTheme="minorEastAsia" w:eastAsiaTheme="minorEastAsia"/>
          <w:color w:val="000000" w:themeColor="text1"/>
          <w14:textFill>
            <w14:solidFill>
              <w14:schemeClr w14:val="tx1"/>
            </w14:solidFill>
          </w14:textFill>
        </w:rPr>
      </w:pPr>
    </w:p>
    <w:p>
      <w:pPr>
        <w:spacing w:line="300" w:lineRule="auto"/>
        <w:jc w:val="center"/>
        <w:rPr>
          <w:rFonts w:asciiTheme="minorEastAsia" w:hAnsiTheme="minorEastAsia" w:eastAsiaTheme="minorEastAsia"/>
          <w:b/>
          <w:bCs/>
          <w:color w:val="000000" w:themeColor="text1"/>
          <w:sz w:val="32"/>
          <w:szCs w:val="32"/>
          <w14:textFill>
            <w14:solidFill>
              <w14:schemeClr w14:val="tx1"/>
            </w14:solidFill>
          </w14:textFill>
        </w:rPr>
      </w:pPr>
      <w:r>
        <w:rPr>
          <w:b/>
          <w:bCs/>
          <w:sz w:val="32"/>
          <w:szCs w:val="32"/>
        </w:rPr>
        <w:t>商务和技术偏差表</w:t>
      </w:r>
    </w:p>
    <w:tbl>
      <w:tblPr>
        <w:tblStyle w:val="32"/>
        <w:tblW w:w="8223" w:type="dxa"/>
        <w:tblInd w:w="2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6"/>
        <w:gridCol w:w="2693"/>
        <w:gridCol w:w="2979"/>
        <w:gridCol w:w="16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59"/>
              <w:spacing w:before="72" w:line="300" w:lineRule="auto"/>
              <w:ind w:left="221" w:right="223"/>
              <w:jc w:val="center"/>
              <w:rPr>
                <w:rFonts w:asciiTheme="minorEastAsia" w:hAnsiTheme="minorEastAsia" w:eastAsiaTheme="minorEastAsia"/>
                <w:b/>
                <w:color w:val="000000" w:themeColor="text1"/>
                <w:sz w:val="21"/>
                <w14:textFill>
                  <w14:solidFill>
                    <w14:schemeClr w14:val="tx1"/>
                  </w14:solidFill>
                </w14:textFill>
              </w:rPr>
            </w:pPr>
            <w:r>
              <w:rPr>
                <w:rFonts w:hint="eastAsia" w:asciiTheme="minorEastAsia" w:hAnsiTheme="minorEastAsia" w:eastAsiaTheme="minorEastAsia"/>
                <w:b/>
                <w:color w:val="000000" w:themeColor="text1"/>
                <w:sz w:val="21"/>
                <w14:textFill>
                  <w14:solidFill>
                    <w14:schemeClr w14:val="tx1"/>
                  </w14:solidFill>
                </w14:textFill>
              </w:rPr>
              <w:t>序号</w:t>
            </w:r>
          </w:p>
        </w:tc>
        <w:tc>
          <w:tcPr>
            <w:tcW w:w="2693" w:type="dxa"/>
          </w:tcPr>
          <w:p>
            <w:pPr>
              <w:pStyle w:val="59"/>
              <w:spacing w:before="72" w:line="300" w:lineRule="auto"/>
              <w:ind w:left="285"/>
              <w:rPr>
                <w:rFonts w:asciiTheme="minorEastAsia" w:hAnsiTheme="minorEastAsia" w:eastAsiaTheme="minorEastAsia"/>
                <w:b/>
                <w:color w:val="000000" w:themeColor="text1"/>
                <w:sz w:val="21"/>
                <w14:textFill>
                  <w14:solidFill>
                    <w14:schemeClr w14:val="tx1"/>
                  </w14:solidFill>
                </w14:textFill>
              </w:rPr>
            </w:pPr>
            <w:r>
              <w:rPr>
                <w:rFonts w:hint="eastAsia" w:asciiTheme="minorEastAsia" w:hAnsiTheme="minorEastAsia" w:eastAsiaTheme="minorEastAsia"/>
                <w:b/>
                <w:color w:val="000000" w:themeColor="text1"/>
                <w:sz w:val="21"/>
                <w14:textFill>
                  <w14:solidFill>
                    <w14:schemeClr w14:val="tx1"/>
                  </w14:solidFill>
                </w14:textFill>
              </w:rPr>
              <w:t>招标文件章节及条款号</w:t>
            </w:r>
          </w:p>
        </w:tc>
        <w:tc>
          <w:tcPr>
            <w:tcW w:w="2979" w:type="dxa"/>
          </w:tcPr>
          <w:p>
            <w:pPr>
              <w:pStyle w:val="59"/>
              <w:spacing w:before="72" w:line="300" w:lineRule="auto"/>
              <w:ind w:left="429"/>
              <w:rPr>
                <w:rFonts w:asciiTheme="minorEastAsia" w:hAnsiTheme="minorEastAsia" w:eastAsiaTheme="minorEastAsia"/>
                <w:b/>
                <w:color w:val="000000" w:themeColor="text1"/>
                <w:sz w:val="21"/>
                <w14:textFill>
                  <w14:solidFill>
                    <w14:schemeClr w14:val="tx1"/>
                  </w14:solidFill>
                </w14:textFill>
              </w:rPr>
            </w:pPr>
            <w:r>
              <w:rPr>
                <w:rFonts w:hint="eastAsia" w:asciiTheme="minorEastAsia" w:hAnsiTheme="minorEastAsia" w:eastAsiaTheme="minorEastAsia"/>
                <w:b/>
                <w:color w:val="000000" w:themeColor="text1"/>
                <w:sz w:val="21"/>
                <w14:textFill>
                  <w14:solidFill>
                    <w14:schemeClr w14:val="tx1"/>
                  </w14:solidFill>
                </w14:textFill>
              </w:rPr>
              <w:t>投标文件章节及条款号</w:t>
            </w:r>
          </w:p>
        </w:tc>
        <w:tc>
          <w:tcPr>
            <w:tcW w:w="1625" w:type="dxa"/>
          </w:tcPr>
          <w:p>
            <w:pPr>
              <w:pStyle w:val="59"/>
              <w:spacing w:before="72" w:line="300" w:lineRule="auto"/>
              <w:ind w:left="386"/>
              <w:rPr>
                <w:rFonts w:asciiTheme="minorEastAsia" w:hAnsiTheme="minorEastAsia" w:eastAsiaTheme="minorEastAsia"/>
                <w:b/>
                <w:color w:val="000000" w:themeColor="text1"/>
                <w:sz w:val="21"/>
                <w14:textFill>
                  <w14:solidFill>
                    <w14:schemeClr w14:val="tx1"/>
                  </w14:solidFill>
                </w14:textFill>
              </w:rPr>
            </w:pPr>
            <w:r>
              <w:rPr>
                <w:rFonts w:hint="eastAsia" w:asciiTheme="minorEastAsia" w:hAnsiTheme="minorEastAsia" w:eastAsiaTheme="minorEastAsia"/>
                <w:b/>
                <w:color w:val="000000" w:themeColor="text1"/>
                <w:sz w:val="21"/>
                <w14:textFill>
                  <w14:solidFill>
                    <w14:schemeClr w14:val="tx1"/>
                  </w14:solidFill>
                </w14:textFill>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exact"/>
        </w:trPr>
        <w:tc>
          <w:tcPr>
            <w:tcW w:w="926" w:type="dxa"/>
          </w:tcPr>
          <w:p>
            <w:pPr>
              <w:pStyle w:val="59"/>
              <w:spacing w:line="300" w:lineRule="auto"/>
              <w:ind w:right="2"/>
              <w:rPr>
                <w:rFonts w:asciiTheme="minorEastAsia" w:hAnsiTheme="minorEastAsia" w:eastAsiaTheme="minorEastAsia"/>
                <w:color w:val="000000" w:themeColor="text1"/>
                <w:sz w:val="21"/>
                <w14:textFill>
                  <w14:solidFill>
                    <w14:schemeClr w14:val="tx1"/>
                  </w14:solidFill>
                </w14:textFill>
              </w:rPr>
            </w:pPr>
            <w:r>
              <w:rPr>
                <w:rFonts w:hint="eastAsia" w:asciiTheme="minorEastAsia" w:hAnsiTheme="minorEastAsia" w:eastAsiaTheme="minorEastAsia"/>
                <w:color w:val="000000" w:themeColor="text1"/>
                <w:sz w:val="21"/>
                <w14:textFill>
                  <w14:solidFill>
                    <w14:schemeClr w14:val="tx1"/>
                  </w14:solidFill>
                </w14:textFill>
              </w:rPr>
              <w:t>1</w:t>
            </w:r>
          </w:p>
        </w:tc>
        <w:tc>
          <w:tcPr>
            <w:tcW w:w="2693" w:type="dxa"/>
          </w:tcPr>
          <w:p>
            <w:pPr>
              <w:spacing w:line="300" w:lineRule="auto"/>
              <w:rPr>
                <w:rFonts w:asciiTheme="minorEastAsia" w:hAnsiTheme="minorEastAsia" w:eastAsiaTheme="minorEastAsia"/>
                <w:color w:val="000000" w:themeColor="text1"/>
                <w14:textFill>
                  <w14:solidFill>
                    <w14:schemeClr w14:val="tx1"/>
                  </w14:solidFill>
                </w14:textFill>
              </w:rPr>
            </w:pPr>
          </w:p>
        </w:tc>
        <w:tc>
          <w:tcPr>
            <w:tcW w:w="2979" w:type="dxa"/>
          </w:tcPr>
          <w:p>
            <w:pPr>
              <w:spacing w:line="300" w:lineRule="auto"/>
              <w:rPr>
                <w:rFonts w:asciiTheme="minorEastAsia" w:hAnsiTheme="minorEastAsia" w:eastAsiaTheme="minorEastAsia"/>
                <w:color w:val="000000" w:themeColor="text1"/>
                <w14:textFill>
                  <w14:solidFill>
                    <w14:schemeClr w14:val="tx1"/>
                  </w14:solidFill>
                </w14:textFill>
              </w:rPr>
            </w:pPr>
          </w:p>
        </w:tc>
        <w:tc>
          <w:tcPr>
            <w:tcW w:w="1625" w:type="dxa"/>
          </w:tcPr>
          <w:p>
            <w:pPr>
              <w:spacing w:line="300" w:lineRule="auto"/>
              <w:rPr>
                <w:rFonts w:asciiTheme="minorEastAsia" w:hAnsiTheme="minorEastAsia" w:eastAsiaTheme="minorEastAsia"/>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59"/>
              <w:spacing w:line="300" w:lineRule="auto"/>
              <w:ind w:right="2"/>
              <w:rPr>
                <w:rFonts w:asciiTheme="minorEastAsia" w:hAnsiTheme="minorEastAsia" w:eastAsiaTheme="minorEastAsia"/>
                <w:color w:val="000000" w:themeColor="text1"/>
                <w:sz w:val="21"/>
                <w14:textFill>
                  <w14:solidFill>
                    <w14:schemeClr w14:val="tx1"/>
                  </w14:solidFill>
                </w14:textFill>
              </w:rPr>
            </w:pPr>
            <w:r>
              <w:rPr>
                <w:rFonts w:hint="eastAsia" w:asciiTheme="minorEastAsia" w:hAnsiTheme="minorEastAsia" w:eastAsiaTheme="minorEastAsia"/>
                <w:color w:val="000000" w:themeColor="text1"/>
                <w:sz w:val="21"/>
                <w14:textFill>
                  <w14:solidFill>
                    <w14:schemeClr w14:val="tx1"/>
                  </w14:solidFill>
                </w14:textFill>
              </w:rPr>
              <w:t>2</w:t>
            </w:r>
          </w:p>
        </w:tc>
        <w:tc>
          <w:tcPr>
            <w:tcW w:w="2693" w:type="dxa"/>
          </w:tcPr>
          <w:p>
            <w:pPr>
              <w:spacing w:line="300" w:lineRule="auto"/>
              <w:rPr>
                <w:rFonts w:asciiTheme="minorEastAsia" w:hAnsiTheme="minorEastAsia" w:eastAsiaTheme="minorEastAsia"/>
                <w:color w:val="000000" w:themeColor="text1"/>
                <w14:textFill>
                  <w14:solidFill>
                    <w14:schemeClr w14:val="tx1"/>
                  </w14:solidFill>
                </w14:textFill>
              </w:rPr>
            </w:pPr>
          </w:p>
        </w:tc>
        <w:tc>
          <w:tcPr>
            <w:tcW w:w="2979" w:type="dxa"/>
          </w:tcPr>
          <w:p>
            <w:pPr>
              <w:spacing w:line="300" w:lineRule="auto"/>
              <w:rPr>
                <w:rFonts w:asciiTheme="minorEastAsia" w:hAnsiTheme="minorEastAsia" w:eastAsiaTheme="minorEastAsia"/>
                <w:color w:val="000000" w:themeColor="text1"/>
                <w14:textFill>
                  <w14:solidFill>
                    <w14:schemeClr w14:val="tx1"/>
                  </w14:solidFill>
                </w14:textFill>
              </w:rPr>
            </w:pPr>
          </w:p>
        </w:tc>
        <w:tc>
          <w:tcPr>
            <w:tcW w:w="1625" w:type="dxa"/>
          </w:tcPr>
          <w:p>
            <w:pPr>
              <w:spacing w:line="300" w:lineRule="auto"/>
              <w:rPr>
                <w:rFonts w:asciiTheme="minorEastAsia" w:hAnsiTheme="minorEastAsia" w:eastAsiaTheme="minorEastAsia"/>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59"/>
              <w:spacing w:line="300" w:lineRule="auto"/>
              <w:ind w:right="2"/>
              <w:rPr>
                <w:rFonts w:asciiTheme="minorEastAsia" w:hAnsiTheme="minorEastAsia" w:eastAsiaTheme="minorEastAsia"/>
                <w:color w:val="000000" w:themeColor="text1"/>
                <w:sz w:val="21"/>
                <w14:textFill>
                  <w14:solidFill>
                    <w14:schemeClr w14:val="tx1"/>
                  </w14:solidFill>
                </w14:textFill>
              </w:rPr>
            </w:pPr>
            <w:r>
              <w:rPr>
                <w:rFonts w:hint="eastAsia" w:asciiTheme="minorEastAsia" w:hAnsiTheme="minorEastAsia" w:eastAsiaTheme="minorEastAsia"/>
                <w:color w:val="000000" w:themeColor="text1"/>
                <w:sz w:val="21"/>
                <w14:textFill>
                  <w14:solidFill>
                    <w14:schemeClr w14:val="tx1"/>
                  </w14:solidFill>
                </w14:textFill>
              </w:rPr>
              <w:t>3</w:t>
            </w:r>
          </w:p>
        </w:tc>
        <w:tc>
          <w:tcPr>
            <w:tcW w:w="2693" w:type="dxa"/>
          </w:tcPr>
          <w:p>
            <w:pPr>
              <w:spacing w:line="300" w:lineRule="auto"/>
              <w:rPr>
                <w:rFonts w:asciiTheme="minorEastAsia" w:hAnsiTheme="minorEastAsia" w:eastAsiaTheme="minorEastAsia"/>
                <w:color w:val="000000" w:themeColor="text1"/>
                <w14:textFill>
                  <w14:solidFill>
                    <w14:schemeClr w14:val="tx1"/>
                  </w14:solidFill>
                </w14:textFill>
              </w:rPr>
            </w:pPr>
          </w:p>
        </w:tc>
        <w:tc>
          <w:tcPr>
            <w:tcW w:w="2979" w:type="dxa"/>
          </w:tcPr>
          <w:p>
            <w:pPr>
              <w:spacing w:line="300" w:lineRule="auto"/>
              <w:rPr>
                <w:rFonts w:asciiTheme="minorEastAsia" w:hAnsiTheme="minorEastAsia" w:eastAsiaTheme="minorEastAsia"/>
                <w:color w:val="000000" w:themeColor="text1"/>
                <w14:textFill>
                  <w14:solidFill>
                    <w14:schemeClr w14:val="tx1"/>
                  </w14:solidFill>
                </w14:textFill>
              </w:rPr>
            </w:pPr>
          </w:p>
        </w:tc>
        <w:tc>
          <w:tcPr>
            <w:tcW w:w="1625" w:type="dxa"/>
          </w:tcPr>
          <w:p>
            <w:pPr>
              <w:spacing w:line="300" w:lineRule="auto"/>
              <w:rPr>
                <w:rFonts w:asciiTheme="minorEastAsia" w:hAnsiTheme="minorEastAsia" w:eastAsiaTheme="minorEastAsia"/>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59"/>
              <w:spacing w:line="300" w:lineRule="auto"/>
              <w:ind w:right="2"/>
              <w:rPr>
                <w:rFonts w:asciiTheme="minorEastAsia" w:hAnsiTheme="minorEastAsia" w:eastAsiaTheme="minorEastAsia"/>
                <w:color w:val="000000" w:themeColor="text1"/>
                <w:sz w:val="21"/>
                <w14:textFill>
                  <w14:solidFill>
                    <w14:schemeClr w14:val="tx1"/>
                  </w14:solidFill>
                </w14:textFill>
              </w:rPr>
            </w:pPr>
            <w:r>
              <w:rPr>
                <w:rFonts w:hint="eastAsia" w:asciiTheme="minorEastAsia" w:hAnsiTheme="minorEastAsia" w:eastAsiaTheme="minorEastAsia"/>
                <w:color w:val="000000" w:themeColor="text1"/>
                <w:sz w:val="21"/>
                <w14:textFill>
                  <w14:solidFill>
                    <w14:schemeClr w14:val="tx1"/>
                  </w14:solidFill>
                </w14:textFill>
              </w:rPr>
              <w:t>4</w:t>
            </w:r>
          </w:p>
        </w:tc>
        <w:tc>
          <w:tcPr>
            <w:tcW w:w="2693" w:type="dxa"/>
          </w:tcPr>
          <w:p>
            <w:pPr>
              <w:spacing w:line="300" w:lineRule="auto"/>
              <w:rPr>
                <w:rFonts w:asciiTheme="minorEastAsia" w:hAnsiTheme="minorEastAsia" w:eastAsiaTheme="minorEastAsia"/>
                <w:color w:val="000000" w:themeColor="text1"/>
                <w14:textFill>
                  <w14:solidFill>
                    <w14:schemeClr w14:val="tx1"/>
                  </w14:solidFill>
                </w14:textFill>
              </w:rPr>
            </w:pPr>
          </w:p>
        </w:tc>
        <w:tc>
          <w:tcPr>
            <w:tcW w:w="2979" w:type="dxa"/>
          </w:tcPr>
          <w:p>
            <w:pPr>
              <w:spacing w:line="300" w:lineRule="auto"/>
              <w:rPr>
                <w:rFonts w:asciiTheme="minorEastAsia" w:hAnsiTheme="minorEastAsia" w:eastAsiaTheme="minorEastAsia"/>
                <w:color w:val="000000" w:themeColor="text1"/>
                <w14:textFill>
                  <w14:solidFill>
                    <w14:schemeClr w14:val="tx1"/>
                  </w14:solidFill>
                </w14:textFill>
              </w:rPr>
            </w:pPr>
          </w:p>
        </w:tc>
        <w:tc>
          <w:tcPr>
            <w:tcW w:w="1625" w:type="dxa"/>
          </w:tcPr>
          <w:p>
            <w:pPr>
              <w:spacing w:line="300" w:lineRule="auto"/>
              <w:rPr>
                <w:rFonts w:asciiTheme="minorEastAsia" w:hAnsiTheme="minorEastAsia" w:eastAsiaTheme="minorEastAsia"/>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59"/>
              <w:spacing w:line="300" w:lineRule="auto"/>
              <w:ind w:right="2"/>
              <w:rPr>
                <w:rFonts w:asciiTheme="minorEastAsia" w:hAnsiTheme="minorEastAsia" w:eastAsiaTheme="minorEastAsia"/>
                <w:color w:val="000000" w:themeColor="text1"/>
                <w:sz w:val="21"/>
                <w14:textFill>
                  <w14:solidFill>
                    <w14:schemeClr w14:val="tx1"/>
                  </w14:solidFill>
                </w14:textFill>
              </w:rPr>
            </w:pPr>
            <w:r>
              <w:rPr>
                <w:rFonts w:hint="eastAsia" w:asciiTheme="minorEastAsia" w:hAnsiTheme="minorEastAsia" w:eastAsiaTheme="minorEastAsia"/>
                <w:color w:val="000000" w:themeColor="text1"/>
                <w:sz w:val="21"/>
                <w14:textFill>
                  <w14:solidFill>
                    <w14:schemeClr w14:val="tx1"/>
                  </w14:solidFill>
                </w14:textFill>
              </w:rPr>
              <w:t>5</w:t>
            </w:r>
          </w:p>
        </w:tc>
        <w:tc>
          <w:tcPr>
            <w:tcW w:w="2693" w:type="dxa"/>
          </w:tcPr>
          <w:p>
            <w:pPr>
              <w:spacing w:line="300" w:lineRule="auto"/>
              <w:rPr>
                <w:rFonts w:asciiTheme="minorEastAsia" w:hAnsiTheme="minorEastAsia" w:eastAsiaTheme="minorEastAsia"/>
                <w:color w:val="000000" w:themeColor="text1"/>
                <w14:textFill>
                  <w14:solidFill>
                    <w14:schemeClr w14:val="tx1"/>
                  </w14:solidFill>
                </w14:textFill>
              </w:rPr>
            </w:pPr>
          </w:p>
        </w:tc>
        <w:tc>
          <w:tcPr>
            <w:tcW w:w="2979" w:type="dxa"/>
          </w:tcPr>
          <w:p>
            <w:pPr>
              <w:spacing w:line="300" w:lineRule="auto"/>
              <w:rPr>
                <w:rFonts w:asciiTheme="minorEastAsia" w:hAnsiTheme="minorEastAsia" w:eastAsiaTheme="minorEastAsia"/>
                <w:color w:val="000000" w:themeColor="text1"/>
                <w14:textFill>
                  <w14:solidFill>
                    <w14:schemeClr w14:val="tx1"/>
                  </w14:solidFill>
                </w14:textFill>
              </w:rPr>
            </w:pPr>
          </w:p>
        </w:tc>
        <w:tc>
          <w:tcPr>
            <w:tcW w:w="1625" w:type="dxa"/>
          </w:tcPr>
          <w:p>
            <w:pPr>
              <w:spacing w:line="300" w:lineRule="auto"/>
              <w:rPr>
                <w:rFonts w:asciiTheme="minorEastAsia" w:hAnsiTheme="minorEastAsia" w:eastAsiaTheme="minorEastAsia"/>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exact"/>
        </w:trPr>
        <w:tc>
          <w:tcPr>
            <w:tcW w:w="926" w:type="dxa"/>
          </w:tcPr>
          <w:p>
            <w:pPr>
              <w:pStyle w:val="59"/>
              <w:spacing w:line="300" w:lineRule="auto"/>
              <w:ind w:right="223"/>
              <w:rPr>
                <w:rFonts w:asciiTheme="minorEastAsia" w:hAnsiTheme="minorEastAsia" w:eastAsiaTheme="minorEastAsia"/>
                <w:i/>
                <w:color w:val="000000" w:themeColor="text1"/>
                <w:sz w:val="21"/>
                <w14:textFill>
                  <w14:solidFill>
                    <w14:schemeClr w14:val="tx1"/>
                  </w14:solidFill>
                </w14:textFill>
              </w:rPr>
            </w:pPr>
            <w:r>
              <w:rPr>
                <w:rFonts w:hint="eastAsia" w:asciiTheme="minorEastAsia" w:hAnsiTheme="minorEastAsia" w:eastAsiaTheme="minorEastAsia"/>
                <w:i/>
                <w:color w:val="000000" w:themeColor="text1"/>
                <w:w w:val="115"/>
                <w:sz w:val="21"/>
                <w14:textFill>
                  <w14:solidFill>
                    <w14:schemeClr w14:val="tx1"/>
                  </w14:solidFill>
                </w14:textFill>
              </w:rPr>
              <w:t>……</w:t>
            </w:r>
          </w:p>
        </w:tc>
        <w:tc>
          <w:tcPr>
            <w:tcW w:w="2693" w:type="dxa"/>
          </w:tcPr>
          <w:p>
            <w:pPr>
              <w:spacing w:line="300" w:lineRule="auto"/>
              <w:rPr>
                <w:rFonts w:asciiTheme="minorEastAsia" w:hAnsiTheme="minorEastAsia" w:eastAsiaTheme="minorEastAsia"/>
                <w:color w:val="000000" w:themeColor="text1"/>
                <w14:textFill>
                  <w14:solidFill>
                    <w14:schemeClr w14:val="tx1"/>
                  </w14:solidFill>
                </w14:textFill>
              </w:rPr>
            </w:pPr>
          </w:p>
        </w:tc>
        <w:tc>
          <w:tcPr>
            <w:tcW w:w="2979" w:type="dxa"/>
          </w:tcPr>
          <w:p>
            <w:pPr>
              <w:spacing w:line="300" w:lineRule="auto"/>
              <w:rPr>
                <w:rFonts w:asciiTheme="minorEastAsia" w:hAnsiTheme="minorEastAsia" w:eastAsiaTheme="minorEastAsia"/>
                <w:color w:val="000000" w:themeColor="text1"/>
                <w14:textFill>
                  <w14:solidFill>
                    <w14:schemeClr w14:val="tx1"/>
                  </w14:solidFill>
                </w14:textFill>
              </w:rPr>
            </w:pPr>
          </w:p>
        </w:tc>
        <w:tc>
          <w:tcPr>
            <w:tcW w:w="1625" w:type="dxa"/>
          </w:tcPr>
          <w:p>
            <w:pPr>
              <w:spacing w:line="300" w:lineRule="auto"/>
              <w:rPr>
                <w:rFonts w:asciiTheme="minorEastAsia" w:hAnsiTheme="minorEastAsia" w:eastAsiaTheme="minorEastAsia"/>
                <w:color w:val="000000" w:themeColor="text1"/>
                <w14:textFill>
                  <w14:solidFill>
                    <w14:schemeClr w14:val="tx1"/>
                  </w14:solidFill>
                </w14:textFill>
              </w:rPr>
            </w:pPr>
          </w:p>
        </w:tc>
      </w:tr>
    </w:tbl>
    <w:p>
      <w:pPr>
        <w:spacing w:line="300" w:lineRule="auto"/>
        <w:rPr>
          <w:rFonts w:asciiTheme="minorEastAsia" w:hAnsiTheme="minorEastAsia" w:eastAsiaTheme="minorEastAsia"/>
          <w:color w:val="000000" w:themeColor="text1"/>
          <w14:textFill>
            <w14:solidFill>
              <w14:schemeClr w14:val="tx1"/>
            </w14:solidFill>
          </w14:textFill>
        </w:rPr>
      </w:pPr>
    </w:p>
    <w:p>
      <w:pPr>
        <w:spacing w:line="300" w:lineRule="auto"/>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color w:val="000000" w:themeColor="text1"/>
          <w14:textFill>
            <w14:solidFill>
              <w14:schemeClr w14:val="tx1"/>
            </w14:solidFill>
          </w14:textFill>
        </w:rPr>
        <w:t>投标人保证：除商务和技术偏差表列出的偏差外，投标人响应招标文件的全部要求。</w:t>
      </w:r>
    </w:p>
    <w:p>
      <w:pPr>
        <w:spacing w:line="300" w:lineRule="auto"/>
        <w:rPr>
          <w:rFonts w:asciiTheme="minorEastAsia" w:hAnsiTheme="minorEastAsia" w:eastAsiaTheme="minorEastAsia"/>
          <w:color w:val="000000" w:themeColor="text1"/>
          <w14:textFill>
            <w14:solidFill>
              <w14:schemeClr w14:val="tx1"/>
            </w14:solidFill>
          </w14:textFill>
        </w:rPr>
        <w:sectPr>
          <w:pgSz w:w="12240" w:h="15840"/>
          <w:pgMar w:top="1587" w:right="1417" w:bottom="1587" w:left="1417" w:header="850" w:footer="567" w:gutter="0"/>
          <w:cols w:space="0" w:num="1"/>
        </w:sectPr>
      </w:pPr>
    </w:p>
    <w:p>
      <w:pPr>
        <w:pStyle w:val="5"/>
        <w:ind w:left="0"/>
        <w:jc w:val="center"/>
      </w:pPr>
      <w:bookmarkStart w:id="317" w:name="_Toc2247"/>
      <w:bookmarkStart w:id="318" w:name="_Toc2668"/>
      <w:bookmarkStart w:id="319" w:name="_Toc28326"/>
      <w:bookmarkStart w:id="320" w:name="_Toc29099"/>
      <w:bookmarkStart w:id="321" w:name="_Toc65848137"/>
      <w:bookmarkStart w:id="322" w:name="_Toc2781"/>
      <w:bookmarkStart w:id="323" w:name="_Toc11001"/>
      <w:r>
        <w:rPr>
          <w:rFonts w:hint="eastAsia"/>
        </w:rPr>
        <w:t>六、</w:t>
      </w:r>
      <w:r>
        <w:t>报价文件</w:t>
      </w:r>
      <w:bookmarkEnd w:id="317"/>
      <w:bookmarkEnd w:id="318"/>
      <w:bookmarkEnd w:id="319"/>
      <w:bookmarkEnd w:id="320"/>
      <w:bookmarkEnd w:id="321"/>
      <w:bookmarkEnd w:id="322"/>
      <w:bookmarkEnd w:id="323"/>
    </w:p>
    <w:tbl>
      <w:tblPr>
        <w:tblStyle w:val="32"/>
        <w:tblW w:w="10097" w:type="dxa"/>
        <w:jc w:val="center"/>
        <w:tblLayout w:type="fixed"/>
        <w:tblCellMar>
          <w:top w:w="0" w:type="dxa"/>
          <w:left w:w="108" w:type="dxa"/>
          <w:bottom w:w="0" w:type="dxa"/>
          <w:right w:w="108" w:type="dxa"/>
        </w:tblCellMar>
      </w:tblPr>
      <w:tblGrid>
        <w:gridCol w:w="810"/>
        <w:gridCol w:w="1704"/>
        <w:gridCol w:w="3489"/>
        <w:gridCol w:w="660"/>
        <w:gridCol w:w="972"/>
        <w:gridCol w:w="1104"/>
        <w:gridCol w:w="1358"/>
      </w:tblGrid>
      <w:tr>
        <w:tblPrEx>
          <w:tblCellMar>
            <w:top w:w="0" w:type="dxa"/>
            <w:left w:w="108" w:type="dxa"/>
            <w:bottom w:w="0" w:type="dxa"/>
            <w:right w:w="108" w:type="dxa"/>
          </w:tblCellMar>
        </w:tblPrEx>
        <w:trPr>
          <w:trHeight w:val="58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2"/>
              </w:rPr>
            </w:pPr>
            <w:r>
              <w:rPr>
                <w:rFonts w:hint="eastAsia" w:ascii="宋体" w:hAnsi="宋体" w:cs="宋体"/>
                <w:b/>
                <w:bCs/>
                <w:color w:val="000000"/>
                <w:sz w:val="22"/>
              </w:rPr>
              <w:t>序号</w:t>
            </w:r>
          </w:p>
        </w:tc>
        <w:tc>
          <w:tcPr>
            <w:tcW w:w="1704" w:type="dxa"/>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2"/>
              </w:rPr>
            </w:pPr>
            <w:r>
              <w:rPr>
                <w:rFonts w:hint="eastAsia" w:ascii="宋体" w:hAnsi="宋体" w:cs="宋体"/>
                <w:b/>
                <w:bCs/>
                <w:color w:val="000000"/>
                <w:sz w:val="22"/>
              </w:rPr>
              <w:t>名称</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2"/>
              </w:rPr>
            </w:pPr>
            <w:r>
              <w:rPr>
                <w:rFonts w:hint="eastAsia" w:ascii="宋体" w:hAnsi="宋体" w:cs="宋体"/>
                <w:b/>
                <w:bCs/>
                <w:color w:val="000000"/>
                <w:sz w:val="22"/>
              </w:rPr>
              <w:t>型号</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2"/>
              </w:rPr>
            </w:pPr>
            <w:r>
              <w:rPr>
                <w:rFonts w:hint="eastAsia" w:ascii="宋体" w:hAnsi="宋体" w:cs="宋体"/>
                <w:b/>
                <w:bCs/>
                <w:color w:val="000000"/>
                <w:sz w:val="22"/>
              </w:rPr>
              <w:t>单位</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2"/>
              </w:rPr>
            </w:pPr>
            <w:r>
              <w:rPr>
                <w:rFonts w:hint="eastAsia" w:ascii="宋体" w:hAnsi="宋体" w:cs="宋体"/>
                <w:b/>
                <w:bCs/>
                <w:color w:val="000000"/>
                <w:sz w:val="22"/>
              </w:rPr>
              <w:t>数量（台）</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cs="宋体"/>
                <w:b/>
                <w:bCs/>
                <w:color w:val="000000"/>
                <w:sz w:val="22"/>
              </w:rPr>
            </w:pPr>
            <w:r>
              <w:rPr>
                <w:rFonts w:hint="eastAsia" w:ascii="宋体" w:hAnsi="宋体" w:cs="宋体"/>
                <w:b/>
                <w:bCs/>
                <w:color w:val="000000"/>
                <w:sz w:val="22"/>
              </w:rPr>
              <w:t>含税单价</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宋体" w:hAnsi="宋体" w:eastAsia="宋体" w:cs="宋体"/>
                <w:b/>
                <w:bCs/>
                <w:color w:val="000000"/>
                <w:sz w:val="22"/>
                <w:lang w:val="en-US" w:eastAsia="zh-CN"/>
              </w:rPr>
            </w:pPr>
            <w:r>
              <w:rPr>
                <w:rFonts w:hint="eastAsia" w:ascii="宋体" w:hAnsi="宋体" w:cs="宋体"/>
                <w:b/>
                <w:bCs/>
                <w:color w:val="000000"/>
                <w:sz w:val="22"/>
                <w:lang w:val="en-US" w:eastAsia="zh-CN"/>
              </w:rPr>
              <w:t>含税总价</w:t>
            </w:r>
          </w:p>
        </w:tc>
      </w:tr>
      <w:tr>
        <w:tblPrEx>
          <w:tblCellMar>
            <w:top w:w="0" w:type="dxa"/>
            <w:left w:w="108" w:type="dxa"/>
            <w:bottom w:w="0" w:type="dxa"/>
            <w:right w:w="108" w:type="dxa"/>
          </w:tblCellMar>
        </w:tblPrEx>
        <w:trPr>
          <w:trHeight w:val="602"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低压进线柜  AA1</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GGD-04(改)</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2</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无功补偿柜  AA2</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GGD-04(改) 75kVar</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3</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低压开关柜AA3/AA4</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4</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锅炉循环泵(带锅炉循环泵变频柜)</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Q=160m3/h H=35m H2O,电机功率30kw  设备承压：1.0MPa</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3</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5</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锅炉补水泵（带锅炉补水泵变频柜1台）</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Q=10m3/h H=20m H2O,电机功率1.5kw  设备承压：1.0MPa</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6</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一体化温度变送器 隔爆型</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量程范围:0-150°C, Pt100, M27*2 ,L=300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7</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一体化温度变送器 隔爆型</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量程范围:0-100°C, Pt100, M27*2 ,L=150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8</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一体化温度变送器 隔爆型</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量程范围:0-100°C, Pt100, M27*2 ,L=200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3</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9</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一体化温度变送器 隔爆型</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量程范围:（-50）-50°C, Pt100, M27*2 ,L=75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10</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压力变送器    隔爆型</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1、精度等级:精度等级0.5%；2、量程范围:0-1.0MPa;3、输出信号:4-20mA 二线；5、防护等级:IP65；6过程连接外螺纹M20*1.5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11</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压力变送器</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1、精度等级:精度等级0.5%；2、量程范围:0-1.0MPa;3、输出信号:4-20mA 二线；5、防护等级:IP65；6过程连接外螺纹M20*1.5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12</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压力变送器</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1、精度等级:精度等级0.5%；2、量程范围:0-0.4MPa;3、输出信号:4-20mA 二线；5、防护等级:IP65；6过程连接外螺纹M20*1.5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13</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智能微差压变送器 隔爆型</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1、精度等级:精度等级0.5%；2、量程范围:0-2000Pa;3、输出信号:4-20mA 二线；4、电缆孔M20*1.5;5、防护等级:IP65；6过程连接外螺纹M20*1.5;7、防爆等级EXDIICT6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14</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差压变送器</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1、精度等级:精度等级0.5%；2、量程范围:0-1.0MPa;3、输出信号:4-20mA 二线；4、防护等级:IP65；5过程连接外螺纹M20*1.5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PLC系统</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15.1</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PLC控制器</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宋体" w:hAnsi="宋体" w:cs="宋体"/>
                <w:color w:val="000000"/>
                <w:sz w:val="22"/>
              </w:rPr>
            </w:pPr>
            <w:r>
              <w:rPr>
                <w:rFonts w:hint="eastAsia" w:ascii="宋体" w:hAnsi="宋体" w:cs="宋体"/>
                <w:color w:val="000000"/>
                <w:sz w:val="22"/>
              </w:rPr>
              <w:t>编程软件</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15.2</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监控软件</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top"/>
              <w:rPr>
                <w:rFonts w:ascii="宋体" w:hAnsi="宋体" w:cs="宋体"/>
                <w:color w:val="000000"/>
                <w:sz w:val="22"/>
              </w:rPr>
            </w:pPr>
            <w:r>
              <w:rPr>
                <w:rFonts w:hint="eastAsia" w:ascii="宋体" w:hAnsi="宋体" w:cs="宋体"/>
                <w:color w:val="000000"/>
                <w:sz w:val="22"/>
              </w:rPr>
              <w:t>通讯接口模块，支持带电拔插， 以太网接口，支持TCP/MODBUS协议 RS-485接口 支撑标准MODBUS</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15.3</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通讯模块</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16通道数字输入，24VDC</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15.4</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DI模块</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16通道数字输入，晶体管输出，容量0.5A  支持带电拔插</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15.5</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DO模块</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8通道模拟量输入，16位分辨率</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3</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15.6</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AI模块</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4通道模拟量输出，通道间隔离，14位分辨率；支持带电拔插</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5</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15.7</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AO模块</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10A电源，24V</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3</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15.8</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电源模块</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2100*1000*600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15.9</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PLC柜</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8个10/100/1000Mbps  自适应以太网端口</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面</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15.10</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交换器</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具备标准OPC接口</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15.11</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上位组态软件</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windows操作系统</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15.12</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操作台</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27~液晶</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15.13</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显示器</w:t>
            </w:r>
          </w:p>
        </w:tc>
        <w:tc>
          <w:tcPr>
            <w:tcW w:w="3489"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1200*800</w:t>
            </w:r>
          </w:p>
        </w:tc>
        <w:tc>
          <w:tcPr>
            <w:tcW w:w="660"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15.14</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计算机操作台</w:t>
            </w:r>
          </w:p>
        </w:tc>
        <w:tc>
          <w:tcPr>
            <w:tcW w:w="3489"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rPr>
            </w:pPr>
          </w:p>
        </w:tc>
        <w:tc>
          <w:tcPr>
            <w:tcW w:w="660"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2</w:t>
            </w:r>
          </w:p>
        </w:tc>
        <w:tc>
          <w:tcPr>
            <w:tcW w:w="1104"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15.15</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自控设备配电开关及附件</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16</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软水处理设备</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水处理量10t/h</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17</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软水箱</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有效容积：8.1m3，不锈钢方形给水箱</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18</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直通除污器</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rPr>
            </w:pPr>
            <w:r>
              <w:rPr>
                <w:rFonts w:hint="eastAsia" w:ascii="宋体" w:hAnsi="宋体" w:cs="宋体"/>
                <w:color w:val="000000"/>
                <w:sz w:val="22"/>
              </w:rPr>
              <w:t>满足使用要求，其他详见设计图纸</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r>
        <w:tblPrEx>
          <w:tblCellMar>
            <w:top w:w="0" w:type="dxa"/>
            <w:left w:w="108" w:type="dxa"/>
            <w:bottom w:w="0" w:type="dxa"/>
            <w:right w:w="108" w:type="dxa"/>
          </w:tblCellMar>
        </w:tblPrEx>
        <w:trPr>
          <w:trHeight w:val="62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设备含税总价</w:t>
            </w:r>
          </w:p>
        </w:tc>
        <w:tc>
          <w:tcPr>
            <w:tcW w:w="34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r>
              <w:rPr>
                <w:rFonts w:hint="eastAsia" w:ascii="宋体" w:hAnsi="宋体" w:cs="宋体"/>
                <w:color w:val="000000"/>
                <w:sz w:val="22"/>
              </w:rPr>
              <w:t>元</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rPr>
            </w:pPr>
          </w:p>
        </w:tc>
      </w:tr>
    </w:tbl>
    <w:p>
      <w:pPr>
        <w:pStyle w:val="18"/>
      </w:pPr>
    </w:p>
    <w:p>
      <w:pPr>
        <w:spacing w:line="300" w:lineRule="auto"/>
        <w:rPr>
          <w:rFonts w:asciiTheme="minorEastAsia" w:hAnsiTheme="minorEastAsia" w:eastAsiaTheme="minorEastAsia"/>
          <w:b/>
          <w:bCs/>
          <w:color w:val="000000" w:themeColor="text1"/>
          <w:sz w:val="28"/>
          <w:szCs w:val="28"/>
          <w14:textFill>
            <w14:solidFill>
              <w14:schemeClr w14:val="tx1"/>
            </w14:solidFill>
          </w14:textFill>
        </w:rPr>
      </w:pPr>
      <w:bookmarkStart w:id="324" w:name="_Toc23614"/>
      <w:bookmarkStart w:id="325" w:name="_Toc22252"/>
      <w:bookmarkStart w:id="326" w:name="_Toc6772"/>
      <w:bookmarkStart w:id="327" w:name="_Toc11489"/>
      <w:bookmarkStart w:id="328" w:name="_Toc13966"/>
      <w:bookmarkStart w:id="329" w:name="_Toc11385"/>
      <w:r>
        <w:rPr>
          <w:rFonts w:hint="eastAsia" w:asciiTheme="minorEastAsia" w:hAnsiTheme="minorEastAsia" w:eastAsiaTheme="minorEastAsia"/>
          <w:b/>
          <w:bCs/>
          <w:color w:val="000000" w:themeColor="text1"/>
          <w:sz w:val="28"/>
          <w:szCs w:val="28"/>
          <w14:textFill>
            <w14:solidFill>
              <w14:schemeClr w14:val="tx1"/>
            </w14:solidFill>
          </w14:textFill>
        </w:rPr>
        <w:t>投标单位签字盖章：</w:t>
      </w:r>
      <w:r>
        <w:rPr>
          <w:rFonts w:hint="eastAsia" w:asciiTheme="minorEastAsia" w:hAnsiTheme="minorEastAsia" w:eastAsiaTheme="minorEastAsia"/>
          <w:b/>
          <w:bCs/>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w:t>
      </w:r>
    </w:p>
    <w:p>
      <w:pPr>
        <w:pStyle w:val="2"/>
        <w:rPr>
          <w:rFonts w:asciiTheme="minorEastAsia" w:hAnsiTheme="minorEastAsia" w:eastAsiaTheme="minorEastAsia"/>
          <w:b/>
          <w:bCs/>
          <w:color w:val="000000" w:themeColor="text1"/>
          <w:sz w:val="28"/>
          <w:szCs w:val="28"/>
          <w14:textFill>
            <w14:solidFill>
              <w14:schemeClr w14:val="tx1"/>
            </w14:solidFill>
          </w14:textFill>
        </w:rPr>
      </w:pPr>
    </w:p>
    <w:p>
      <w:pPr>
        <w:pStyle w:val="3"/>
      </w:pPr>
    </w:p>
    <w:p>
      <w:pPr>
        <w:spacing w:line="300" w:lineRule="auto"/>
        <w:rPr>
          <w:rFonts w:asciiTheme="minorEastAsia" w:hAnsiTheme="minorEastAsia" w:eastAsiaTheme="minorEastAsia"/>
          <w:b/>
          <w:bCs/>
          <w:color w:val="000000" w:themeColor="text1"/>
          <w:szCs w:val="24"/>
          <w14:textFill>
            <w14:solidFill>
              <w14:schemeClr w14:val="tx1"/>
            </w14:solidFill>
          </w14:textFill>
        </w:rPr>
      </w:pPr>
      <w:r>
        <w:rPr>
          <w:rFonts w:hint="eastAsia" w:asciiTheme="minorEastAsia" w:hAnsiTheme="minorEastAsia" w:eastAsiaTheme="minorEastAsia"/>
          <w:b/>
          <w:bCs/>
          <w:color w:val="000000" w:themeColor="text1"/>
          <w:sz w:val="30"/>
          <w:szCs w:val="30"/>
          <w14:textFill>
            <w14:solidFill>
              <w14:schemeClr w14:val="tx1"/>
            </w14:solidFill>
          </w14:textFill>
        </w:rPr>
        <w:t>说  明：</w:t>
      </w:r>
      <w:bookmarkEnd w:id="324"/>
      <w:bookmarkEnd w:id="325"/>
      <w:bookmarkEnd w:id="326"/>
      <w:bookmarkEnd w:id="327"/>
      <w:bookmarkEnd w:id="328"/>
      <w:bookmarkEnd w:id="329"/>
    </w:p>
    <w:p>
      <w:pPr>
        <w:spacing w:line="300" w:lineRule="auto"/>
        <w:ind w:left="240" w:leftChars="100"/>
        <w:rPr>
          <w:rFonts w:asciiTheme="minorEastAsia" w:hAnsiTheme="minorEastAsia" w:eastAsiaTheme="minorEastAsia"/>
          <w:b/>
          <w:bCs/>
          <w:color w:val="000000" w:themeColor="text1"/>
          <w:szCs w:val="24"/>
          <w14:textFill>
            <w14:solidFill>
              <w14:schemeClr w14:val="tx1"/>
            </w14:solidFill>
          </w14:textFill>
        </w:rPr>
      </w:pPr>
      <w:r>
        <w:t>1.投标报价见附件：</w:t>
      </w:r>
      <w:r>
        <w:rPr>
          <w:rFonts w:hint="eastAsia"/>
        </w:rPr>
        <w:t>投标标价包括所有安装、使用的全部配件。</w:t>
      </w:r>
      <w:r>
        <w:br w:type="textWrapping"/>
      </w:r>
      <w:r>
        <w:t>2.投标报价应是供方将合格标的物送至交货地点，包含产品成本价、运杂费、装卸费、保险、税金、资金成本、包装费、指导安装调试费等所有的费用；供方已充分考虑各类风险因素的价格。本合同单价将作为最终结算的依据，除双方另有约定外结算时不再调整。</w:t>
      </w:r>
      <w:r>
        <w:br w:type="textWrapping"/>
      </w:r>
      <w:r>
        <w:t>3.增值税率均为13%。</w:t>
      </w:r>
      <w:r>
        <w:br w:type="textWrapping"/>
      </w:r>
      <w:r>
        <w:t>4.</w:t>
      </w:r>
      <w:r>
        <w:rPr>
          <w:rFonts w:hint="eastAsia"/>
        </w:rPr>
        <w:t>如果</w:t>
      </w:r>
      <w:r>
        <w:t>按单价计算的结果与总价不一致，以单价为准修正总价。</w:t>
      </w:r>
      <w:r>
        <w:br w:type="textWrapping"/>
      </w:r>
      <w:r>
        <w:t>5.供方随标的物提交送货清单、产品合格证、出厂试验报告等其他需方要求提供的资料文件。</w:t>
      </w:r>
      <w:r>
        <w:br w:type="textWrapping"/>
      </w:r>
      <w:r>
        <w:t>6.价格必须经法定代表人或授权委托人用抹不掉的墨水签字，任何由于错误造成的或必要的改动应由投标人签字。</w:t>
      </w:r>
    </w:p>
    <w:p>
      <w:pPr>
        <w:spacing w:line="300" w:lineRule="auto"/>
        <w:ind w:left="241" w:hanging="241" w:hangingChars="100"/>
        <w:rPr>
          <w:rFonts w:asciiTheme="minorEastAsia" w:hAnsiTheme="minorEastAsia" w:eastAsiaTheme="minorEastAsia"/>
          <w:b/>
          <w:bCs/>
          <w:color w:val="000000" w:themeColor="text1"/>
          <w:szCs w:val="24"/>
          <w14:textFill>
            <w14:solidFill>
              <w14:schemeClr w14:val="tx1"/>
            </w14:solidFill>
          </w14:textFill>
        </w:rPr>
      </w:pPr>
    </w:p>
    <w:p>
      <w:pPr>
        <w:pStyle w:val="2"/>
        <w:rPr>
          <w:rFonts w:asciiTheme="minorEastAsia" w:hAnsiTheme="minorEastAsia" w:eastAsiaTheme="minorEastAsia"/>
          <w:b/>
          <w:bCs/>
          <w:color w:val="000000" w:themeColor="text1"/>
          <w:szCs w:val="24"/>
          <w14:textFill>
            <w14:solidFill>
              <w14:schemeClr w14:val="tx1"/>
            </w14:solidFill>
          </w14:textFill>
        </w:rPr>
      </w:pPr>
    </w:p>
    <w:p>
      <w:pPr>
        <w:pStyle w:val="3"/>
      </w:pPr>
    </w:p>
    <w:p>
      <w:pPr>
        <w:pStyle w:val="3"/>
      </w:pPr>
    </w:p>
    <w:p>
      <w:pPr>
        <w:pStyle w:val="3"/>
      </w:pPr>
    </w:p>
    <w:p>
      <w:pPr>
        <w:pStyle w:val="3"/>
      </w:pPr>
    </w:p>
    <w:p>
      <w:pPr>
        <w:spacing w:line="300" w:lineRule="auto"/>
        <w:ind w:left="241" w:hanging="241" w:hangingChars="100"/>
        <w:rPr>
          <w:rFonts w:asciiTheme="minorEastAsia" w:hAnsiTheme="minorEastAsia" w:eastAsiaTheme="minorEastAsia"/>
          <w:b/>
          <w:bCs/>
          <w:color w:val="000000" w:themeColor="text1"/>
          <w:szCs w:val="24"/>
          <w14:textFill>
            <w14:solidFill>
              <w14:schemeClr w14:val="tx1"/>
            </w14:solidFill>
          </w14:textFill>
        </w:rPr>
      </w:pPr>
    </w:p>
    <w:p>
      <w:pPr>
        <w:pStyle w:val="5"/>
        <w:ind w:left="0"/>
      </w:pPr>
      <w:bookmarkStart w:id="330" w:name="_Toc65848141"/>
      <w:bookmarkStart w:id="331" w:name="_Toc32324"/>
      <w:bookmarkStart w:id="332" w:name="_Toc14532"/>
      <w:bookmarkStart w:id="333" w:name="_Toc6179"/>
      <w:bookmarkStart w:id="334" w:name="_Toc32357"/>
      <w:bookmarkStart w:id="335" w:name="_Toc16283"/>
      <w:bookmarkStart w:id="336" w:name="_Toc4829"/>
      <w:r>
        <w:rPr>
          <w:rFonts w:hint="eastAsia"/>
        </w:rPr>
        <w:t>七、</w:t>
      </w:r>
      <w:r>
        <w:t>近年完成的类似项目情况表</w:t>
      </w:r>
      <w:bookmarkEnd w:id="330"/>
      <w:bookmarkEnd w:id="331"/>
      <w:bookmarkEnd w:id="332"/>
      <w:bookmarkEnd w:id="333"/>
      <w:bookmarkEnd w:id="334"/>
      <w:bookmarkEnd w:id="335"/>
      <w:bookmarkEnd w:id="336"/>
    </w:p>
    <w:bookmarkEnd w:id="295"/>
    <w:bookmarkEnd w:id="296"/>
    <w:bookmarkEnd w:id="297"/>
    <w:p>
      <w:pPr>
        <w:pStyle w:val="7"/>
      </w:pPr>
      <w:bookmarkStart w:id="337" w:name="_Toc76730594"/>
      <w:bookmarkStart w:id="338" w:name="_Toc65848139"/>
      <w:bookmarkStart w:id="339" w:name="_Toc76730597"/>
      <w:r>
        <w:t>（一）基本情况表</w:t>
      </w:r>
      <w:bookmarkEnd w:id="337"/>
      <w:bookmarkEnd w:id="338"/>
    </w:p>
    <w:tbl>
      <w:tblPr>
        <w:tblStyle w:val="32"/>
        <w:tblW w:w="9308" w:type="dxa"/>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50"/>
        <w:gridCol w:w="944"/>
        <w:gridCol w:w="2410"/>
        <w:gridCol w:w="1135"/>
        <w:gridCol w:w="22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550" w:type="dxa"/>
            <w:vAlign w:val="center"/>
          </w:tcPr>
          <w:p>
            <w:pPr>
              <w:pStyle w:val="61"/>
              <w:jc w:val="center"/>
              <w:rPr>
                <w:rFonts w:ascii="Times New Roman" w:hAnsi="Times New Roman"/>
                <w:sz w:val="21"/>
              </w:rPr>
            </w:pPr>
            <w:r>
              <w:rPr>
                <w:rFonts w:ascii="Times New Roman" w:hAnsi="Times New Roman"/>
                <w:sz w:val="21"/>
              </w:rPr>
              <w:t>投标人名称</w:t>
            </w:r>
          </w:p>
        </w:tc>
        <w:tc>
          <w:tcPr>
            <w:tcW w:w="6758" w:type="dxa"/>
            <w:gridSpan w:val="4"/>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550" w:type="dxa"/>
            <w:vAlign w:val="center"/>
          </w:tcPr>
          <w:p>
            <w:pPr>
              <w:pStyle w:val="61"/>
              <w:jc w:val="center"/>
              <w:rPr>
                <w:rFonts w:ascii="Times New Roman" w:hAnsi="Times New Roman"/>
                <w:sz w:val="21"/>
              </w:rPr>
            </w:pPr>
            <w:r>
              <w:rPr>
                <w:rFonts w:ascii="Times New Roman" w:hAnsi="Times New Roman"/>
                <w:sz w:val="21"/>
              </w:rPr>
              <w:t>注册资金</w:t>
            </w:r>
          </w:p>
        </w:tc>
        <w:tc>
          <w:tcPr>
            <w:tcW w:w="3354" w:type="dxa"/>
            <w:gridSpan w:val="2"/>
            <w:vAlign w:val="center"/>
          </w:tcPr>
          <w:p>
            <w:pPr>
              <w:rPr>
                <w:rFonts w:ascii="Times New Roman" w:hAnsi="Times New Roman"/>
              </w:rPr>
            </w:pPr>
          </w:p>
        </w:tc>
        <w:tc>
          <w:tcPr>
            <w:tcW w:w="1135" w:type="dxa"/>
            <w:vAlign w:val="center"/>
          </w:tcPr>
          <w:p>
            <w:pPr>
              <w:pStyle w:val="61"/>
              <w:jc w:val="center"/>
              <w:rPr>
                <w:rFonts w:ascii="Times New Roman" w:hAnsi="Times New Roman"/>
                <w:sz w:val="21"/>
              </w:rPr>
            </w:pPr>
            <w:r>
              <w:rPr>
                <w:rFonts w:ascii="Times New Roman" w:hAnsi="Times New Roman"/>
                <w:sz w:val="21"/>
              </w:rPr>
              <w:t>成立时间</w:t>
            </w:r>
          </w:p>
        </w:tc>
        <w:tc>
          <w:tcPr>
            <w:tcW w:w="2269" w:type="dxa"/>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550" w:type="dxa"/>
            <w:vAlign w:val="center"/>
          </w:tcPr>
          <w:p>
            <w:pPr>
              <w:pStyle w:val="61"/>
              <w:jc w:val="center"/>
              <w:rPr>
                <w:rFonts w:ascii="Times New Roman" w:hAnsi="Times New Roman"/>
                <w:sz w:val="21"/>
              </w:rPr>
            </w:pPr>
            <w:r>
              <w:rPr>
                <w:rFonts w:ascii="Times New Roman" w:hAnsi="Times New Roman"/>
                <w:sz w:val="21"/>
              </w:rPr>
              <w:t>注册地址</w:t>
            </w:r>
          </w:p>
        </w:tc>
        <w:tc>
          <w:tcPr>
            <w:tcW w:w="6758" w:type="dxa"/>
            <w:gridSpan w:val="4"/>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550" w:type="dxa"/>
            <w:vAlign w:val="center"/>
          </w:tcPr>
          <w:p>
            <w:pPr>
              <w:pStyle w:val="61"/>
              <w:jc w:val="center"/>
              <w:rPr>
                <w:rFonts w:ascii="Times New Roman" w:hAnsi="Times New Roman"/>
                <w:sz w:val="21"/>
              </w:rPr>
            </w:pPr>
            <w:r>
              <w:rPr>
                <w:rFonts w:ascii="Times New Roman" w:hAnsi="Times New Roman"/>
                <w:sz w:val="21"/>
              </w:rPr>
              <w:t>邮政编码</w:t>
            </w:r>
          </w:p>
        </w:tc>
        <w:tc>
          <w:tcPr>
            <w:tcW w:w="3354" w:type="dxa"/>
            <w:gridSpan w:val="2"/>
            <w:vAlign w:val="center"/>
          </w:tcPr>
          <w:p>
            <w:pPr>
              <w:rPr>
                <w:rFonts w:ascii="Times New Roman" w:hAnsi="Times New Roman"/>
              </w:rPr>
            </w:pPr>
          </w:p>
        </w:tc>
        <w:tc>
          <w:tcPr>
            <w:tcW w:w="1135" w:type="dxa"/>
            <w:vAlign w:val="center"/>
          </w:tcPr>
          <w:p>
            <w:pPr>
              <w:pStyle w:val="61"/>
              <w:jc w:val="center"/>
              <w:rPr>
                <w:rFonts w:ascii="Times New Roman" w:hAnsi="Times New Roman"/>
                <w:sz w:val="21"/>
              </w:rPr>
            </w:pPr>
            <w:r>
              <w:rPr>
                <w:rFonts w:ascii="Times New Roman" w:hAnsi="Times New Roman"/>
                <w:sz w:val="21"/>
              </w:rPr>
              <w:t>员工总数</w:t>
            </w:r>
          </w:p>
        </w:tc>
        <w:tc>
          <w:tcPr>
            <w:tcW w:w="2269" w:type="dxa"/>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550" w:type="dxa"/>
            <w:vMerge w:val="restart"/>
            <w:vAlign w:val="center"/>
          </w:tcPr>
          <w:p>
            <w:pPr>
              <w:pStyle w:val="61"/>
              <w:jc w:val="center"/>
              <w:rPr>
                <w:rFonts w:ascii="Times New Roman" w:hAnsi="Times New Roman"/>
                <w:sz w:val="21"/>
              </w:rPr>
            </w:pPr>
            <w:r>
              <w:rPr>
                <w:rFonts w:ascii="Times New Roman" w:hAnsi="Times New Roman"/>
                <w:sz w:val="21"/>
              </w:rPr>
              <w:t>联系方式</w:t>
            </w:r>
          </w:p>
        </w:tc>
        <w:tc>
          <w:tcPr>
            <w:tcW w:w="944" w:type="dxa"/>
            <w:vAlign w:val="center"/>
          </w:tcPr>
          <w:p>
            <w:pPr>
              <w:pStyle w:val="61"/>
              <w:jc w:val="center"/>
              <w:rPr>
                <w:rFonts w:ascii="Times New Roman" w:hAnsi="Times New Roman"/>
                <w:sz w:val="21"/>
              </w:rPr>
            </w:pPr>
            <w:r>
              <w:rPr>
                <w:rFonts w:ascii="Times New Roman" w:hAnsi="Times New Roman"/>
                <w:sz w:val="21"/>
              </w:rPr>
              <w:t>联系人</w:t>
            </w:r>
          </w:p>
        </w:tc>
        <w:tc>
          <w:tcPr>
            <w:tcW w:w="2410" w:type="dxa"/>
            <w:vAlign w:val="center"/>
          </w:tcPr>
          <w:p>
            <w:pPr>
              <w:rPr>
                <w:rFonts w:ascii="Times New Roman" w:hAnsi="Times New Roman"/>
              </w:rPr>
            </w:pPr>
          </w:p>
        </w:tc>
        <w:tc>
          <w:tcPr>
            <w:tcW w:w="1135" w:type="dxa"/>
            <w:vAlign w:val="center"/>
          </w:tcPr>
          <w:p>
            <w:pPr>
              <w:pStyle w:val="61"/>
              <w:jc w:val="center"/>
              <w:rPr>
                <w:rFonts w:ascii="Times New Roman" w:hAnsi="Times New Roman"/>
                <w:sz w:val="21"/>
              </w:rPr>
            </w:pPr>
            <w:r>
              <w:rPr>
                <w:rFonts w:ascii="Times New Roman" w:hAnsi="Times New Roman"/>
                <w:sz w:val="21"/>
              </w:rPr>
              <w:t>电话</w:t>
            </w:r>
          </w:p>
        </w:tc>
        <w:tc>
          <w:tcPr>
            <w:tcW w:w="2269" w:type="dxa"/>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550" w:type="dxa"/>
            <w:vMerge w:val="continue"/>
            <w:vAlign w:val="center"/>
          </w:tcPr>
          <w:p>
            <w:pPr>
              <w:jc w:val="center"/>
              <w:rPr>
                <w:rFonts w:ascii="Times New Roman" w:hAnsi="Times New Roman"/>
              </w:rPr>
            </w:pPr>
          </w:p>
        </w:tc>
        <w:tc>
          <w:tcPr>
            <w:tcW w:w="944" w:type="dxa"/>
            <w:vAlign w:val="center"/>
          </w:tcPr>
          <w:p>
            <w:pPr>
              <w:pStyle w:val="61"/>
              <w:jc w:val="center"/>
              <w:rPr>
                <w:rFonts w:ascii="Times New Roman" w:hAnsi="Times New Roman"/>
                <w:sz w:val="21"/>
              </w:rPr>
            </w:pPr>
            <w:r>
              <w:rPr>
                <w:rFonts w:ascii="Times New Roman" w:hAnsi="Times New Roman"/>
                <w:sz w:val="21"/>
              </w:rPr>
              <w:t>网址</w:t>
            </w:r>
          </w:p>
        </w:tc>
        <w:tc>
          <w:tcPr>
            <w:tcW w:w="2410" w:type="dxa"/>
            <w:vAlign w:val="center"/>
          </w:tcPr>
          <w:p>
            <w:pPr>
              <w:rPr>
                <w:rFonts w:ascii="Times New Roman" w:hAnsi="Times New Roman"/>
              </w:rPr>
            </w:pPr>
          </w:p>
        </w:tc>
        <w:tc>
          <w:tcPr>
            <w:tcW w:w="1135" w:type="dxa"/>
            <w:vAlign w:val="center"/>
          </w:tcPr>
          <w:p>
            <w:pPr>
              <w:pStyle w:val="61"/>
              <w:jc w:val="center"/>
              <w:rPr>
                <w:rFonts w:ascii="Times New Roman" w:hAnsi="Times New Roman"/>
                <w:sz w:val="21"/>
              </w:rPr>
            </w:pPr>
            <w:r>
              <w:rPr>
                <w:rFonts w:ascii="Times New Roman" w:hAnsi="Times New Roman"/>
                <w:sz w:val="21"/>
              </w:rPr>
              <w:t>传真</w:t>
            </w:r>
          </w:p>
        </w:tc>
        <w:tc>
          <w:tcPr>
            <w:tcW w:w="2269" w:type="dxa"/>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2550" w:type="dxa"/>
            <w:vAlign w:val="center"/>
          </w:tcPr>
          <w:p>
            <w:pPr>
              <w:pStyle w:val="61"/>
              <w:jc w:val="center"/>
              <w:rPr>
                <w:rFonts w:ascii="Times New Roman" w:hAnsi="Times New Roman"/>
                <w:sz w:val="21"/>
              </w:rPr>
            </w:pPr>
            <w:r>
              <w:rPr>
                <w:rFonts w:ascii="Times New Roman" w:hAnsi="Times New Roman"/>
                <w:sz w:val="21"/>
              </w:rPr>
              <w:t>法定代表人</w:t>
            </w:r>
          </w:p>
          <w:p>
            <w:pPr>
              <w:pStyle w:val="61"/>
              <w:jc w:val="center"/>
              <w:rPr>
                <w:rFonts w:ascii="Times New Roman" w:hAnsi="Times New Roman"/>
                <w:sz w:val="21"/>
              </w:rPr>
            </w:pPr>
            <w:r>
              <w:rPr>
                <w:rFonts w:ascii="Times New Roman" w:hAnsi="Times New Roman"/>
                <w:sz w:val="21"/>
              </w:rPr>
              <w:t>（单位负责人）</w:t>
            </w:r>
          </w:p>
        </w:tc>
        <w:tc>
          <w:tcPr>
            <w:tcW w:w="944" w:type="dxa"/>
            <w:vAlign w:val="center"/>
          </w:tcPr>
          <w:p>
            <w:pPr>
              <w:pStyle w:val="61"/>
              <w:jc w:val="center"/>
              <w:rPr>
                <w:rFonts w:ascii="Times New Roman" w:hAnsi="Times New Roman"/>
                <w:sz w:val="21"/>
              </w:rPr>
            </w:pPr>
            <w:r>
              <w:rPr>
                <w:rFonts w:ascii="Times New Roman" w:hAnsi="Times New Roman"/>
                <w:sz w:val="21"/>
              </w:rPr>
              <w:t>姓名</w:t>
            </w:r>
          </w:p>
        </w:tc>
        <w:tc>
          <w:tcPr>
            <w:tcW w:w="2410" w:type="dxa"/>
            <w:vAlign w:val="center"/>
          </w:tcPr>
          <w:p>
            <w:pPr>
              <w:rPr>
                <w:rFonts w:ascii="Times New Roman" w:hAnsi="Times New Roman"/>
              </w:rPr>
            </w:pPr>
          </w:p>
        </w:tc>
        <w:tc>
          <w:tcPr>
            <w:tcW w:w="1135" w:type="dxa"/>
            <w:vAlign w:val="center"/>
          </w:tcPr>
          <w:p>
            <w:pPr>
              <w:pStyle w:val="61"/>
              <w:jc w:val="center"/>
              <w:rPr>
                <w:rFonts w:ascii="Times New Roman" w:hAnsi="Times New Roman"/>
                <w:sz w:val="21"/>
              </w:rPr>
            </w:pPr>
            <w:r>
              <w:rPr>
                <w:rFonts w:ascii="Times New Roman" w:hAnsi="Times New Roman"/>
                <w:sz w:val="21"/>
              </w:rPr>
              <w:t>电话</w:t>
            </w:r>
          </w:p>
        </w:tc>
        <w:tc>
          <w:tcPr>
            <w:tcW w:w="2269" w:type="dxa"/>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0" w:hRule="exact"/>
        </w:trPr>
        <w:tc>
          <w:tcPr>
            <w:tcW w:w="2550" w:type="dxa"/>
            <w:vAlign w:val="center"/>
          </w:tcPr>
          <w:p>
            <w:pPr>
              <w:pStyle w:val="61"/>
              <w:spacing w:line="360" w:lineRule="auto"/>
              <w:jc w:val="center"/>
              <w:rPr>
                <w:rFonts w:ascii="Times New Roman" w:hAnsi="Times New Roman"/>
                <w:sz w:val="21"/>
              </w:rPr>
            </w:pPr>
            <w:r>
              <w:rPr>
                <w:rFonts w:ascii="Times New Roman" w:hAnsi="Times New Roman"/>
                <w:sz w:val="21"/>
              </w:rPr>
              <w:t>投标人须知要求投标人需具有的各类资质证书</w:t>
            </w:r>
          </w:p>
        </w:tc>
        <w:tc>
          <w:tcPr>
            <w:tcW w:w="6758" w:type="dxa"/>
            <w:gridSpan w:val="4"/>
            <w:vAlign w:val="center"/>
          </w:tcPr>
          <w:p>
            <w:pPr>
              <w:pStyle w:val="61"/>
              <w:tabs>
                <w:tab w:val="left" w:pos="2309"/>
                <w:tab w:val="left" w:pos="4409"/>
              </w:tabs>
              <w:rPr>
                <w:rFonts w:ascii="Times New Roman" w:hAnsi="Times New Roman"/>
                <w:sz w:val="21"/>
              </w:rPr>
            </w:pPr>
            <w:r>
              <w:rPr>
                <w:rFonts w:ascii="Times New Roman" w:hAnsi="Times New Roman"/>
                <w:sz w:val="21"/>
              </w:rPr>
              <w:t>类型：         等级：          证书号：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550" w:type="dxa"/>
            <w:vAlign w:val="center"/>
          </w:tcPr>
          <w:p>
            <w:pPr>
              <w:pStyle w:val="61"/>
              <w:jc w:val="center"/>
              <w:rPr>
                <w:rFonts w:ascii="Times New Roman" w:hAnsi="Times New Roman"/>
                <w:sz w:val="21"/>
              </w:rPr>
            </w:pPr>
            <w:r>
              <w:rPr>
                <w:rFonts w:ascii="Times New Roman" w:hAnsi="Times New Roman"/>
                <w:sz w:val="21"/>
              </w:rPr>
              <w:t>基本账户开户银行</w:t>
            </w:r>
          </w:p>
        </w:tc>
        <w:tc>
          <w:tcPr>
            <w:tcW w:w="6758" w:type="dxa"/>
            <w:gridSpan w:val="4"/>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550" w:type="dxa"/>
            <w:vAlign w:val="center"/>
          </w:tcPr>
          <w:p>
            <w:pPr>
              <w:pStyle w:val="61"/>
              <w:jc w:val="center"/>
              <w:rPr>
                <w:rFonts w:ascii="Times New Roman" w:hAnsi="Times New Roman"/>
                <w:sz w:val="21"/>
              </w:rPr>
            </w:pPr>
            <w:r>
              <w:rPr>
                <w:rFonts w:ascii="Times New Roman" w:hAnsi="Times New Roman"/>
                <w:sz w:val="21"/>
              </w:rPr>
              <w:t>基本账户银行账号</w:t>
            </w:r>
          </w:p>
        </w:tc>
        <w:tc>
          <w:tcPr>
            <w:tcW w:w="6758" w:type="dxa"/>
            <w:gridSpan w:val="4"/>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550" w:type="dxa"/>
            <w:vAlign w:val="center"/>
          </w:tcPr>
          <w:p>
            <w:pPr>
              <w:pStyle w:val="61"/>
              <w:jc w:val="center"/>
              <w:rPr>
                <w:rFonts w:ascii="Times New Roman" w:hAnsi="Times New Roman"/>
                <w:sz w:val="21"/>
              </w:rPr>
            </w:pPr>
            <w:r>
              <w:rPr>
                <w:rFonts w:ascii="Times New Roman" w:hAnsi="Times New Roman"/>
                <w:sz w:val="21"/>
              </w:rPr>
              <w:t>近三年营业额</w:t>
            </w:r>
          </w:p>
        </w:tc>
        <w:tc>
          <w:tcPr>
            <w:tcW w:w="6758" w:type="dxa"/>
            <w:gridSpan w:val="4"/>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0" w:hRule="exact"/>
        </w:trPr>
        <w:tc>
          <w:tcPr>
            <w:tcW w:w="2550" w:type="dxa"/>
            <w:vAlign w:val="center"/>
          </w:tcPr>
          <w:p>
            <w:pPr>
              <w:pStyle w:val="61"/>
              <w:spacing w:line="360" w:lineRule="auto"/>
              <w:jc w:val="center"/>
              <w:rPr>
                <w:rFonts w:ascii="Times New Roman" w:hAnsi="Times New Roman"/>
                <w:sz w:val="21"/>
              </w:rPr>
            </w:pPr>
            <w:r>
              <w:rPr>
                <w:rFonts w:ascii="Times New Roman" w:hAnsi="Times New Roman"/>
                <w:sz w:val="21"/>
              </w:rPr>
              <w:t>投标人关联企业情况（包括但不限于与投 标人法定代表人（单 位负责人）为同一人或者存在控股、管理关系的不同单位）</w:t>
            </w:r>
          </w:p>
        </w:tc>
        <w:tc>
          <w:tcPr>
            <w:tcW w:w="6758" w:type="dxa"/>
            <w:gridSpan w:val="4"/>
            <w:vAlign w:val="center"/>
          </w:tcPr>
          <w:p>
            <w:pPr>
              <w:jc w:val="cente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550" w:type="dxa"/>
            <w:vAlign w:val="center"/>
          </w:tcPr>
          <w:p>
            <w:pPr>
              <w:pStyle w:val="61"/>
              <w:jc w:val="center"/>
              <w:rPr>
                <w:rFonts w:ascii="Times New Roman" w:hAnsi="Times New Roman"/>
                <w:sz w:val="21"/>
              </w:rPr>
            </w:pPr>
            <w:r>
              <w:rPr>
                <w:rFonts w:ascii="Times New Roman" w:hAnsi="Times New Roman"/>
                <w:sz w:val="21"/>
              </w:rPr>
              <w:t>投标材料制造商名称</w:t>
            </w:r>
          </w:p>
        </w:tc>
        <w:tc>
          <w:tcPr>
            <w:tcW w:w="6758" w:type="dxa"/>
            <w:gridSpan w:val="4"/>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2" w:hRule="exact"/>
        </w:trPr>
        <w:tc>
          <w:tcPr>
            <w:tcW w:w="2550" w:type="dxa"/>
            <w:vAlign w:val="center"/>
          </w:tcPr>
          <w:p>
            <w:pPr>
              <w:pStyle w:val="61"/>
              <w:spacing w:line="384" w:lineRule="auto"/>
              <w:ind w:hanging="3"/>
              <w:jc w:val="center"/>
              <w:rPr>
                <w:rFonts w:ascii="Times New Roman" w:hAnsi="Times New Roman"/>
                <w:sz w:val="21"/>
              </w:rPr>
            </w:pPr>
            <w:r>
              <w:rPr>
                <w:rFonts w:ascii="Times New Roman" w:hAnsi="Times New Roman"/>
                <w:sz w:val="21"/>
              </w:rPr>
              <w:t>投标人须知要求投标材料制造商需具有的资质证书</w:t>
            </w:r>
          </w:p>
        </w:tc>
        <w:tc>
          <w:tcPr>
            <w:tcW w:w="6758" w:type="dxa"/>
            <w:gridSpan w:val="4"/>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550" w:type="dxa"/>
            <w:vAlign w:val="center"/>
          </w:tcPr>
          <w:p>
            <w:pPr>
              <w:pStyle w:val="61"/>
              <w:jc w:val="center"/>
              <w:rPr>
                <w:rFonts w:ascii="Times New Roman" w:hAnsi="Times New Roman"/>
                <w:sz w:val="21"/>
              </w:rPr>
            </w:pPr>
            <w:r>
              <w:rPr>
                <w:rFonts w:ascii="Times New Roman" w:hAnsi="Times New Roman"/>
                <w:sz w:val="21"/>
              </w:rPr>
              <w:t>备注</w:t>
            </w:r>
          </w:p>
        </w:tc>
        <w:tc>
          <w:tcPr>
            <w:tcW w:w="6758" w:type="dxa"/>
            <w:gridSpan w:val="4"/>
            <w:vAlign w:val="center"/>
          </w:tcPr>
          <w:p>
            <w:pPr>
              <w:rPr>
                <w:rFonts w:ascii="Times New Roman" w:hAnsi="Times New Roman"/>
              </w:rPr>
            </w:pPr>
          </w:p>
        </w:tc>
      </w:tr>
    </w:tbl>
    <w:p>
      <w:pPr>
        <w:pStyle w:val="2"/>
        <w:ind w:left="0"/>
        <w:rPr>
          <w:rFonts w:ascii="宋体" w:hAnsi="宋体" w:eastAsia="宋体" w:cs="宋体"/>
        </w:rPr>
      </w:pPr>
      <w:r>
        <w:rPr>
          <w:rFonts w:hint="eastAsia" w:ascii="宋体" w:hAnsi="宋体" w:eastAsia="宋体" w:cs="宋体"/>
        </w:rPr>
        <w:t>注： 投标人应根据第四章4.1项的要求在本表后附相关证明材料。境内投标人以电汇或者电子保函形式提交投标保证金的，还应附付款账户开户证明原件扫描件。</w:t>
      </w:r>
    </w:p>
    <w:p>
      <w:pPr>
        <w:spacing w:line="360" w:lineRule="auto"/>
        <w:ind w:firstLine="480" w:firstLineChars="200"/>
        <w:rPr>
          <w:rFonts w:ascii="Times New Roman" w:hAnsi="Times New Roman"/>
        </w:rPr>
        <w:sectPr>
          <w:headerReference r:id="rId12" w:type="default"/>
          <w:footerReference r:id="rId13" w:type="default"/>
          <w:pgSz w:w="12240" w:h="15840"/>
          <w:pgMar w:top="1587" w:right="1417" w:bottom="1587" w:left="1417" w:header="850" w:footer="567" w:gutter="0"/>
          <w:cols w:space="0" w:num="1"/>
        </w:sectPr>
      </w:pPr>
    </w:p>
    <w:p>
      <w:pPr>
        <w:pStyle w:val="7"/>
      </w:pPr>
      <w:bookmarkStart w:id="340" w:name="_Toc76730595"/>
      <w:r>
        <w:t>（</w:t>
      </w:r>
      <w:r>
        <w:rPr>
          <w:rFonts w:hint="eastAsia"/>
          <w:lang w:val="en-US" w:eastAsia="zh-CN"/>
        </w:rPr>
        <w:t>二</w:t>
      </w:r>
      <w:r>
        <w:t>）近年完成的类似项目情况表</w:t>
      </w:r>
      <w:bookmarkEnd w:id="340"/>
    </w:p>
    <w:tbl>
      <w:tblPr>
        <w:tblStyle w:val="32"/>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9"/>
        <w:gridCol w:w="6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jc w:val="center"/>
        </w:trPr>
        <w:tc>
          <w:tcPr>
            <w:tcW w:w="2269" w:type="dxa"/>
            <w:vAlign w:val="center"/>
          </w:tcPr>
          <w:p>
            <w:pPr>
              <w:pStyle w:val="61"/>
              <w:jc w:val="center"/>
              <w:rPr>
                <w:rFonts w:ascii="Times New Roman" w:hAnsi="Times New Roman"/>
                <w:sz w:val="21"/>
              </w:rPr>
            </w:pPr>
            <w:r>
              <w:rPr>
                <w:rFonts w:ascii="Times New Roman" w:hAnsi="Times New Roman"/>
                <w:sz w:val="21"/>
              </w:rPr>
              <w:t>材料名称</w:t>
            </w:r>
          </w:p>
        </w:tc>
        <w:tc>
          <w:tcPr>
            <w:tcW w:w="6253" w:type="dxa"/>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exact"/>
          <w:jc w:val="center"/>
        </w:trPr>
        <w:tc>
          <w:tcPr>
            <w:tcW w:w="2269" w:type="dxa"/>
            <w:vAlign w:val="center"/>
          </w:tcPr>
          <w:p>
            <w:pPr>
              <w:pStyle w:val="61"/>
              <w:jc w:val="center"/>
              <w:rPr>
                <w:rFonts w:ascii="Times New Roman" w:hAnsi="Times New Roman"/>
                <w:sz w:val="21"/>
              </w:rPr>
            </w:pPr>
            <w:r>
              <w:rPr>
                <w:rFonts w:ascii="Times New Roman" w:hAnsi="Times New Roman"/>
                <w:sz w:val="21"/>
              </w:rPr>
              <w:t>规格和型号</w:t>
            </w:r>
          </w:p>
        </w:tc>
        <w:tc>
          <w:tcPr>
            <w:tcW w:w="6253" w:type="dxa"/>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2269" w:type="dxa"/>
            <w:vAlign w:val="center"/>
          </w:tcPr>
          <w:p>
            <w:pPr>
              <w:pStyle w:val="61"/>
              <w:jc w:val="center"/>
              <w:rPr>
                <w:rFonts w:ascii="Times New Roman" w:hAnsi="Times New Roman"/>
                <w:sz w:val="21"/>
              </w:rPr>
            </w:pPr>
            <w:r>
              <w:rPr>
                <w:rFonts w:ascii="Times New Roman" w:hAnsi="Times New Roman"/>
                <w:sz w:val="21"/>
              </w:rPr>
              <w:t>项目名称</w:t>
            </w:r>
          </w:p>
        </w:tc>
        <w:tc>
          <w:tcPr>
            <w:tcW w:w="6253" w:type="dxa"/>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exact"/>
          <w:jc w:val="center"/>
        </w:trPr>
        <w:tc>
          <w:tcPr>
            <w:tcW w:w="2269" w:type="dxa"/>
            <w:vAlign w:val="center"/>
          </w:tcPr>
          <w:p>
            <w:pPr>
              <w:pStyle w:val="61"/>
              <w:jc w:val="center"/>
              <w:rPr>
                <w:rFonts w:ascii="Times New Roman" w:hAnsi="Times New Roman"/>
                <w:sz w:val="21"/>
              </w:rPr>
            </w:pPr>
            <w:r>
              <w:rPr>
                <w:rFonts w:ascii="Times New Roman" w:hAnsi="Times New Roman"/>
                <w:sz w:val="21"/>
              </w:rPr>
              <w:t>买方名称</w:t>
            </w:r>
          </w:p>
        </w:tc>
        <w:tc>
          <w:tcPr>
            <w:tcW w:w="6253" w:type="dxa"/>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2269" w:type="dxa"/>
            <w:vAlign w:val="center"/>
          </w:tcPr>
          <w:p>
            <w:pPr>
              <w:pStyle w:val="61"/>
              <w:jc w:val="center"/>
              <w:rPr>
                <w:rFonts w:ascii="Times New Roman" w:hAnsi="Times New Roman"/>
                <w:sz w:val="21"/>
              </w:rPr>
            </w:pPr>
            <w:r>
              <w:rPr>
                <w:rFonts w:ascii="Times New Roman" w:hAnsi="Times New Roman"/>
                <w:sz w:val="21"/>
              </w:rPr>
              <w:t>买方联系人及电话</w:t>
            </w:r>
          </w:p>
        </w:tc>
        <w:tc>
          <w:tcPr>
            <w:tcW w:w="6253" w:type="dxa"/>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exact"/>
          <w:jc w:val="center"/>
        </w:trPr>
        <w:tc>
          <w:tcPr>
            <w:tcW w:w="2269" w:type="dxa"/>
            <w:vAlign w:val="center"/>
          </w:tcPr>
          <w:p>
            <w:pPr>
              <w:pStyle w:val="61"/>
              <w:jc w:val="center"/>
              <w:rPr>
                <w:rFonts w:ascii="Times New Roman" w:hAnsi="Times New Roman"/>
                <w:sz w:val="21"/>
              </w:rPr>
            </w:pPr>
            <w:r>
              <w:rPr>
                <w:rFonts w:ascii="Times New Roman" w:hAnsi="Times New Roman"/>
                <w:sz w:val="21"/>
              </w:rPr>
              <w:t>合同价格</w:t>
            </w:r>
          </w:p>
        </w:tc>
        <w:tc>
          <w:tcPr>
            <w:tcW w:w="6253" w:type="dxa"/>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9" w:hRule="exact"/>
          <w:jc w:val="center"/>
        </w:trPr>
        <w:tc>
          <w:tcPr>
            <w:tcW w:w="2269" w:type="dxa"/>
            <w:vAlign w:val="center"/>
          </w:tcPr>
          <w:p>
            <w:pPr>
              <w:pStyle w:val="61"/>
              <w:spacing w:line="386" w:lineRule="auto"/>
              <w:jc w:val="center"/>
              <w:rPr>
                <w:rFonts w:ascii="Times New Roman" w:hAnsi="Times New Roman"/>
                <w:sz w:val="21"/>
              </w:rPr>
            </w:pPr>
            <w:r>
              <w:rPr>
                <w:rFonts w:ascii="Times New Roman" w:hAnsi="Times New Roman"/>
                <w:sz w:val="21"/>
              </w:rPr>
              <w:t>项目概况及投标人履约情况</w:t>
            </w:r>
          </w:p>
        </w:tc>
        <w:tc>
          <w:tcPr>
            <w:tcW w:w="6253" w:type="dxa"/>
            <w:vAlign w:val="center"/>
          </w:tcPr>
          <w:p>
            <w:pP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exact"/>
          <w:jc w:val="center"/>
        </w:trPr>
        <w:tc>
          <w:tcPr>
            <w:tcW w:w="2269" w:type="dxa"/>
            <w:vAlign w:val="center"/>
          </w:tcPr>
          <w:p>
            <w:pPr>
              <w:pStyle w:val="61"/>
              <w:jc w:val="center"/>
              <w:rPr>
                <w:rFonts w:ascii="Times New Roman" w:hAnsi="Times New Roman"/>
                <w:sz w:val="21"/>
              </w:rPr>
            </w:pPr>
            <w:r>
              <w:rPr>
                <w:rFonts w:ascii="Times New Roman" w:hAnsi="Times New Roman"/>
                <w:sz w:val="21"/>
              </w:rPr>
              <w:t>备注</w:t>
            </w:r>
          </w:p>
        </w:tc>
        <w:tc>
          <w:tcPr>
            <w:tcW w:w="6253" w:type="dxa"/>
            <w:vAlign w:val="center"/>
          </w:tcPr>
          <w:p>
            <w:pPr>
              <w:rPr>
                <w:rFonts w:ascii="Times New Roman" w:hAnsi="Times New Roman"/>
              </w:rPr>
            </w:pPr>
          </w:p>
        </w:tc>
      </w:tr>
    </w:tbl>
    <w:p>
      <w:pPr>
        <w:pStyle w:val="2"/>
      </w:pPr>
    </w:p>
    <w:p>
      <w:pPr>
        <w:pStyle w:val="2"/>
        <w:rPr>
          <w:rFonts w:ascii="宋体" w:hAnsi="宋体" w:eastAsia="宋体" w:cs="宋体"/>
        </w:rPr>
      </w:pPr>
      <w:r>
        <w:rPr>
          <w:rFonts w:hint="eastAsia" w:ascii="宋体" w:hAnsi="宋体" w:eastAsia="宋体" w:cs="宋体"/>
        </w:rPr>
        <w:t>注：投标人应在本表后附相关证明材料。</w:t>
      </w:r>
    </w:p>
    <w:p>
      <w:pPr>
        <w:pStyle w:val="2"/>
      </w:pPr>
    </w:p>
    <w:p>
      <w:pPr>
        <w:spacing w:line="276" w:lineRule="auto"/>
        <w:ind w:firstLine="480" w:firstLineChars="200"/>
        <w:rPr>
          <w:rFonts w:ascii="Times New Roman" w:hAnsi="Times New Roman"/>
        </w:rPr>
        <w:sectPr>
          <w:pgSz w:w="12240" w:h="15840"/>
          <w:pgMar w:top="1587" w:right="1417" w:bottom="1587" w:left="1417" w:header="850" w:footer="567" w:gutter="0"/>
          <w:cols w:space="0" w:num="1"/>
        </w:sectPr>
      </w:pPr>
    </w:p>
    <w:p>
      <w:pPr>
        <w:pStyle w:val="7"/>
      </w:pPr>
      <w:bookmarkStart w:id="341" w:name="_Toc65848142"/>
      <w:bookmarkStart w:id="342" w:name="_Toc76730596"/>
      <w:r>
        <w:t>（</w:t>
      </w:r>
      <w:r>
        <w:rPr>
          <w:rFonts w:hint="eastAsia"/>
          <w:lang w:val="en-US" w:eastAsia="zh-CN"/>
        </w:rPr>
        <w:t>三</w:t>
      </w:r>
      <w:r>
        <w:t>）正在供货和新承接的项目情况表</w:t>
      </w:r>
      <w:bookmarkEnd w:id="341"/>
      <w:r>
        <w:rPr>
          <w:rFonts w:hint="eastAsia"/>
        </w:rPr>
        <w:t>（如有）</w:t>
      </w:r>
      <w:bookmarkEnd w:id="342"/>
    </w:p>
    <w:tbl>
      <w:tblPr>
        <w:tblStyle w:val="32"/>
        <w:tblW w:w="8522" w:type="dxa"/>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9"/>
        <w:gridCol w:w="6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vAlign w:val="center"/>
          </w:tcPr>
          <w:p>
            <w:pPr>
              <w:pStyle w:val="61"/>
              <w:jc w:val="center"/>
              <w:rPr>
                <w:rFonts w:ascii="Times New Roman" w:hAnsi="Times New Roman"/>
                <w:sz w:val="21"/>
              </w:rPr>
            </w:pPr>
            <w:r>
              <w:rPr>
                <w:rFonts w:ascii="Times New Roman" w:hAnsi="Times New Roman"/>
                <w:sz w:val="21"/>
              </w:rPr>
              <w:t>材料名称</w:t>
            </w:r>
          </w:p>
        </w:tc>
        <w:tc>
          <w:tcPr>
            <w:tcW w:w="6253" w:type="dxa"/>
            <w:vAlign w:val="center"/>
          </w:tcPr>
          <w:p>
            <w:pPr>
              <w:jc w:val="cente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exact"/>
        </w:trPr>
        <w:tc>
          <w:tcPr>
            <w:tcW w:w="2269" w:type="dxa"/>
            <w:vAlign w:val="center"/>
          </w:tcPr>
          <w:p>
            <w:pPr>
              <w:pStyle w:val="61"/>
              <w:jc w:val="center"/>
              <w:rPr>
                <w:rFonts w:ascii="Times New Roman" w:hAnsi="Times New Roman"/>
                <w:sz w:val="21"/>
              </w:rPr>
            </w:pPr>
            <w:r>
              <w:rPr>
                <w:rFonts w:ascii="Times New Roman" w:hAnsi="Times New Roman"/>
                <w:sz w:val="21"/>
              </w:rPr>
              <w:t>规格和型号</w:t>
            </w:r>
          </w:p>
        </w:tc>
        <w:tc>
          <w:tcPr>
            <w:tcW w:w="6253" w:type="dxa"/>
            <w:vAlign w:val="center"/>
          </w:tcPr>
          <w:p>
            <w:pPr>
              <w:jc w:val="cente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2269" w:type="dxa"/>
            <w:vAlign w:val="center"/>
          </w:tcPr>
          <w:p>
            <w:pPr>
              <w:pStyle w:val="61"/>
              <w:jc w:val="center"/>
              <w:rPr>
                <w:rFonts w:ascii="Times New Roman" w:hAnsi="Times New Roman"/>
                <w:sz w:val="21"/>
              </w:rPr>
            </w:pPr>
            <w:r>
              <w:rPr>
                <w:rFonts w:ascii="Times New Roman" w:hAnsi="Times New Roman"/>
                <w:sz w:val="21"/>
              </w:rPr>
              <w:t>项目名称</w:t>
            </w:r>
          </w:p>
        </w:tc>
        <w:tc>
          <w:tcPr>
            <w:tcW w:w="6253" w:type="dxa"/>
            <w:vAlign w:val="center"/>
          </w:tcPr>
          <w:p>
            <w:pPr>
              <w:jc w:val="cente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exact"/>
        </w:trPr>
        <w:tc>
          <w:tcPr>
            <w:tcW w:w="2269" w:type="dxa"/>
            <w:vAlign w:val="center"/>
          </w:tcPr>
          <w:p>
            <w:pPr>
              <w:pStyle w:val="61"/>
              <w:jc w:val="center"/>
              <w:rPr>
                <w:rFonts w:ascii="Times New Roman" w:hAnsi="Times New Roman"/>
                <w:sz w:val="21"/>
              </w:rPr>
            </w:pPr>
            <w:r>
              <w:rPr>
                <w:rFonts w:ascii="Times New Roman" w:hAnsi="Times New Roman"/>
                <w:sz w:val="21"/>
              </w:rPr>
              <w:t>买方名称</w:t>
            </w:r>
          </w:p>
        </w:tc>
        <w:tc>
          <w:tcPr>
            <w:tcW w:w="6253" w:type="dxa"/>
            <w:vAlign w:val="center"/>
          </w:tcPr>
          <w:p>
            <w:pPr>
              <w:jc w:val="cente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exact"/>
        </w:trPr>
        <w:tc>
          <w:tcPr>
            <w:tcW w:w="2269" w:type="dxa"/>
            <w:vAlign w:val="center"/>
          </w:tcPr>
          <w:p>
            <w:pPr>
              <w:pStyle w:val="61"/>
              <w:jc w:val="center"/>
              <w:rPr>
                <w:rFonts w:ascii="Times New Roman" w:hAnsi="Times New Roman"/>
                <w:sz w:val="21"/>
              </w:rPr>
            </w:pPr>
            <w:r>
              <w:rPr>
                <w:rFonts w:ascii="Times New Roman" w:hAnsi="Times New Roman"/>
                <w:sz w:val="21"/>
              </w:rPr>
              <w:t>买方联系人及电话</w:t>
            </w:r>
          </w:p>
        </w:tc>
        <w:tc>
          <w:tcPr>
            <w:tcW w:w="6253" w:type="dxa"/>
            <w:vAlign w:val="center"/>
          </w:tcPr>
          <w:p>
            <w:pPr>
              <w:jc w:val="cente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exact"/>
        </w:trPr>
        <w:tc>
          <w:tcPr>
            <w:tcW w:w="2269" w:type="dxa"/>
            <w:vAlign w:val="center"/>
          </w:tcPr>
          <w:p>
            <w:pPr>
              <w:pStyle w:val="61"/>
              <w:jc w:val="center"/>
              <w:rPr>
                <w:rFonts w:ascii="Times New Roman" w:hAnsi="Times New Roman"/>
                <w:sz w:val="21"/>
              </w:rPr>
            </w:pPr>
            <w:r>
              <w:rPr>
                <w:rFonts w:ascii="Times New Roman" w:hAnsi="Times New Roman"/>
                <w:sz w:val="21"/>
              </w:rPr>
              <w:t>签约合同价</w:t>
            </w:r>
          </w:p>
        </w:tc>
        <w:tc>
          <w:tcPr>
            <w:tcW w:w="6253" w:type="dxa"/>
            <w:vAlign w:val="center"/>
          </w:tcPr>
          <w:p>
            <w:pPr>
              <w:jc w:val="cente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9" w:hRule="exact"/>
        </w:trPr>
        <w:tc>
          <w:tcPr>
            <w:tcW w:w="2269" w:type="dxa"/>
            <w:vAlign w:val="center"/>
          </w:tcPr>
          <w:p>
            <w:pPr>
              <w:pStyle w:val="61"/>
              <w:spacing w:line="386" w:lineRule="auto"/>
              <w:jc w:val="center"/>
              <w:rPr>
                <w:rFonts w:ascii="Times New Roman" w:hAnsi="Times New Roman"/>
                <w:sz w:val="21"/>
              </w:rPr>
            </w:pPr>
            <w:r>
              <w:rPr>
                <w:rFonts w:ascii="Times New Roman" w:hAnsi="Times New Roman"/>
                <w:sz w:val="21"/>
              </w:rPr>
              <w:t>项目概况及投标人履约情况</w:t>
            </w:r>
          </w:p>
        </w:tc>
        <w:tc>
          <w:tcPr>
            <w:tcW w:w="6253" w:type="dxa"/>
            <w:vAlign w:val="center"/>
          </w:tcPr>
          <w:p>
            <w:pPr>
              <w:jc w:val="center"/>
              <w:rPr>
                <w:rFonts w:ascii="Times New Roman" w:hAns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exact"/>
        </w:trPr>
        <w:tc>
          <w:tcPr>
            <w:tcW w:w="2269" w:type="dxa"/>
            <w:vAlign w:val="center"/>
          </w:tcPr>
          <w:p>
            <w:pPr>
              <w:pStyle w:val="61"/>
              <w:jc w:val="center"/>
              <w:rPr>
                <w:rFonts w:ascii="Times New Roman" w:hAnsi="Times New Roman"/>
                <w:sz w:val="21"/>
              </w:rPr>
            </w:pPr>
            <w:r>
              <w:rPr>
                <w:rFonts w:ascii="Times New Roman" w:hAnsi="Times New Roman"/>
                <w:sz w:val="21"/>
              </w:rPr>
              <w:t>备注</w:t>
            </w:r>
          </w:p>
        </w:tc>
        <w:tc>
          <w:tcPr>
            <w:tcW w:w="6253" w:type="dxa"/>
            <w:vAlign w:val="center"/>
          </w:tcPr>
          <w:p>
            <w:pPr>
              <w:jc w:val="center"/>
              <w:rPr>
                <w:rFonts w:ascii="Times New Roman" w:hAnsi="Times New Roman"/>
              </w:rPr>
            </w:pPr>
          </w:p>
        </w:tc>
      </w:tr>
    </w:tbl>
    <w:p>
      <w:pPr>
        <w:pStyle w:val="2"/>
      </w:pPr>
    </w:p>
    <w:p>
      <w:pPr>
        <w:pStyle w:val="2"/>
        <w:rPr>
          <w:rFonts w:ascii="宋体" w:hAnsi="宋体" w:eastAsia="宋体" w:cs="宋体"/>
        </w:rPr>
      </w:pPr>
      <w:r>
        <w:rPr>
          <w:rFonts w:hint="eastAsia" w:ascii="宋体" w:hAnsi="宋体" w:eastAsia="宋体" w:cs="宋体"/>
        </w:rPr>
        <w:t>注：投标人应在本表后附相关证明材料。</w:t>
      </w:r>
    </w:p>
    <w:p>
      <w:pPr>
        <w:pStyle w:val="3"/>
      </w:pPr>
    </w:p>
    <w:p>
      <w:pPr>
        <w:spacing w:line="355" w:lineRule="exact"/>
        <w:ind w:left="237" w:right="1980"/>
        <w:rPr>
          <w:rFonts w:ascii="Times New Roman" w:hAnsi="Times New Roman"/>
          <w:szCs w:val="21"/>
        </w:rPr>
      </w:pPr>
      <w:r>
        <w:rPr>
          <w:rFonts w:hint="eastAsia" w:asciiTheme="minorEastAsia" w:hAnsiTheme="minorEastAsia" w:eastAsiaTheme="minorEastAsia"/>
          <w:b/>
          <w:bCs/>
          <w:color w:val="000000" w:themeColor="text1"/>
          <w:szCs w:val="32"/>
          <w14:textFill>
            <w14:solidFill>
              <w14:schemeClr w14:val="tx1"/>
            </w14:solidFill>
          </w14:textFill>
        </w:rPr>
        <w:t>（</w:t>
      </w:r>
      <w:r>
        <w:rPr>
          <w:rFonts w:hint="eastAsia" w:asciiTheme="minorEastAsia" w:hAnsiTheme="minorEastAsia" w:eastAsiaTheme="minorEastAsia"/>
          <w:b/>
          <w:bCs/>
          <w:color w:val="000000" w:themeColor="text1"/>
          <w:szCs w:val="32"/>
          <w:lang w:val="en-US" w:eastAsia="zh-CN"/>
          <w14:textFill>
            <w14:solidFill>
              <w14:schemeClr w14:val="tx1"/>
            </w14:solidFill>
          </w14:textFill>
        </w:rPr>
        <w:t>四</w:t>
      </w:r>
      <w:r>
        <w:rPr>
          <w:rFonts w:asciiTheme="minorEastAsia" w:hAnsiTheme="minorEastAsia" w:eastAsiaTheme="minorEastAsia"/>
          <w:b/>
          <w:bCs/>
          <w:color w:val="000000" w:themeColor="text1"/>
          <w:szCs w:val="32"/>
          <w14:textFill>
            <w14:solidFill>
              <w14:schemeClr w14:val="tx1"/>
            </w14:solidFill>
          </w14:textFill>
        </w:rPr>
        <w:t>五</w:t>
      </w:r>
      <w:r>
        <w:rPr>
          <w:rFonts w:hint="eastAsia" w:asciiTheme="minorEastAsia" w:hAnsiTheme="minorEastAsia" w:eastAsiaTheme="minorEastAsia"/>
          <w:b/>
          <w:bCs/>
          <w:color w:val="000000" w:themeColor="text1"/>
          <w:szCs w:val="32"/>
          <w14:textFill>
            <w14:solidFill>
              <w14:schemeClr w14:val="tx1"/>
            </w14:solidFill>
          </w14:textFill>
        </w:rPr>
        <w:t>）</w:t>
      </w:r>
      <w:r>
        <w:rPr>
          <w:rFonts w:asciiTheme="minorEastAsia" w:hAnsiTheme="minorEastAsia" w:eastAsiaTheme="minorEastAsia"/>
          <w:b/>
          <w:bCs/>
          <w:color w:val="000000" w:themeColor="text1"/>
          <w:szCs w:val="32"/>
          <w14:textFill>
            <w14:solidFill>
              <w14:schemeClr w14:val="tx1"/>
            </w14:solidFill>
          </w14:textFill>
        </w:rPr>
        <w:t>近年发生的诉讼及仲裁情况</w:t>
      </w:r>
      <w:r>
        <w:rPr>
          <w:rFonts w:hint="eastAsia" w:asciiTheme="minorEastAsia" w:hAnsiTheme="minorEastAsia" w:eastAsiaTheme="minorEastAsia"/>
          <w:b/>
          <w:bCs/>
          <w:color w:val="000000" w:themeColor="text1"/>
          <w:szCs w:val="32"/>
          <w14:textFill>
            <w14:solidFill>
              <w14:schemeClr w14:val="tx1"/>
            </w14:solidFill>
          </w14:textFill>
        </w:rPr>
        <w:t>（如有）</w:t>
      </w:r>
    </w:p>
    <w:p>
      <w:pPr>
        <w:spacing w:line="355" w:lineRule="exact"/>
        <w:ind w:left="237" w:right="1980"/>
        <w:rPr>
          <w:rFonts w:ascii="Times New Roman" w:hAnsi="Times New Roman"/>
        </w:rPr>
      </w:pPr>
    </w:p>
    <w:p>
      <w:pPr>
        <w:pStyle w:val="2"/>
        <w:rPr>
          <w:rFonts w:ascii="Times New Roman" w:hAnsi="Times New Roman"/>
        </w:rPr>
      </w:pPr>
    </w:p>
    <w:p>
      <w:pPr>
        <w:pStyle w:val="3"/>
        <w:rPr>
          <w:rFonts w:ascii="Times New Roman" w:hAnsi="Times New Roman"/>
        </w:rPr>
      </w:pPr>
    </w:p>
    <w:p>
      <w:pPr>
        <w:pStyle w:val="3"/>
        <w:rPr>
          <w:rFonts w:ascii="Times New Roman" w:hAnsi="Times New Roman"/>
        </w:rPr>
      </w:pPr>
    </w:p>
    <w:p>
      <w:pPr>
        <w:pStyle w:val="3"/>
        <w:rPr>
          <w:rFonts w:ascii="Times New Roman" w:hAnsi="Times New Roman"/>
        </w:rPr>
      </w:pPr>
    </w:p>
    <w:p>
      <w:pPr>
        <w:pStyle w:val="3"/>
        <w:rPr>
          <w:rFonts w:ascii="Times New Roman" w:hAnsi="Times New Roman"/>
        </w:rPr>
      </w:pPr>
    </w:p>
    <w:p>
      <w:pPr>
        <w:pStyle w:val="3"/>
        <w:rPr>
          <w:rFonts w:ascii="Times New Roman" w:hAnsi="Times New Roman"/>
        </w:rPr>
      </w:pPr>
    </w:p>
    <w:p>
      <w:pPr>
        <w:pStyle w:val="3"/>
        <w:rPr>
          <w:rFonts w:ascii="Times New Roman" w:hAnsi="Times New Roman"/>
        </w:rPr>
      </w:pPr>
    </w:p>
    <w:p>
      <w:pPr>
        <w:pStyle w:val="5"/>
        <w:ind w:left="0"/>
        <w:rPr>
          <w:spacing w:val="-1"/>
          <w:sz w:val="32"/>
        </w:rPr>
      </w:pPr>
      <w:bookmarkStart w:id="343" w:name="_Toc31905"/>
      <w:r>
        <w:rPr>
          <w:rFonts w:hint="eastAsia"/>
          <w:spacing w:val="-1"/>
          <w:szCs w:val="28"/>
        </w:rPr>
        <w:t>八、售后服务</w:t>
      </w:r>
      <w:bookmarkEnd w:id="339"/>
      <w:bookmarkEnd w:id="343"/>
    </w:p>
    <w:p>
      <w:pPr>
        <w:pBdr>
          <w:top w:val="none" w:color="000000" w:sz="0" w:space="3"/>
          <w:left w:val="none" w:color="000000" w:sz="0" w:space="3"/>
          <w:bottom w:val="none" w:color="000000" w:sz="0" w:space="3"/>
          <w:right w:val="none" w:color="000000" w:sz="0" w:space="3"/>
        </w:pBdr>
        <w:spacing w:line="360" w:lineRule="auto"/>
        <w:ind w:left="-42" w:firstLine="960" w:firstLineChars="400"/>
        <w:rPr>
          <w:strike/>
        </w:rPr>
      </w:pPr>
      <w:r>
        <w:rPr>
          <w:rFonts w:hint="eastAsia"/>
        </w:rPr>
        <w:t>投标人应从招标人对装卸服务、售后服务两个方面具体描述；</w:t>
      </w:r>
    </w:p>
    <w:p>
      <w:pPr>
        <w:pStyle w:val="5"/>
        <w:ind w:left="0"/>
        <w:rPr>
          <w:szCs w:val="28"/>
        </w:rPr>
      </w:pPr>
      <w:bookmarkStart w:id="344" w:name="_Toc76730598"/>
      <w:bookmarkStart w:id="345" w:name="_Toc28300"/>
      <w:r>
        <w:rPr>
          <w:rFonts w:hint="eastAsia"/>
          <w:szCs w:val="28"/>
        </w:rPr>
        <w:t>九、信誉文件要求</w:t>
      </w:r>
      <w:bookmarkEnd w:id="344"/>
      <w:bookmarkEnd w:id="345"/>
    </w:p>
    <w:p>
      <w:pPr>
        <w:pStyle w:val="70"/>
        <w:pBdr>
          <w:top w:val="none" w:color="000000" w:sz="0" w:space="3"/>
          <w:left w:val="none" w:color="000000" w:sz="0" w:space="3"/>
          <w:bottom w:val="none" w:color="000000" w:sz="0" w:space="3"/>
          <w:right w:val="none" w:color="000000" w:sz="0" w:space="3"/>
        </w:pBdr>
        <w:spacing w:line="360" w:lineRule="auto"/>
        <w:ind w:left="378" w:firstLine="480"/>
      </w:pPr>
      <w:r>
        <w:rPr>
          <w:rFonts w:hint="eastAsia"/>
        </w:rPr>
        <w:t>投标人提供</w:t>
      </w:r>
      <w:r>
        <w:rPr>
          <w:rFonts w:hint="eastAsia" w:asciiTheme="minorEastAsia" w:hAnsiTheme="minorEastAsia" w:eastAsiaTheme="minorEastAsia"/>
          <w:spacing w:val="-3"/>
          <w:sz w:val="21"/>
          <w:szCs w:val="21"/>
        </w:rPr>
        <w:t>“信用中国”网站下载的信用报告</w:t>
      </w:r>
      <w:r>
        <w:rPr>
          <w:rFonts w:hint="eastAsia"/>
        </w:rPr>
        <w:t>；</w:t>
      </w:r>
    </w:p>
    <w:p>
      <w:pPr>
        <w:spacing w:line="300" w:lineRule="auto"/>
      </w:pPr>
    </w:p>
    <w:sectPr>
      <w:headerReference r:id="rId14" w:type="default"/>
      <w:footerReference r:id="rId15" w:type="default"/>
      <w:endnotePr>
        <w:numFmt w:val="decimal"/>
      </w:endnotePr>
      <w:pgSz w:w="12240" w:h="15840"/>
      <w:pgMar w:top="1587" w:right="1417" w:bottom="1587" w:left="1417" w:header="850" w:footer="567" w:gutter="0"/>
      <w:cols w:space="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Noto Sans CJK DemiLight">
    <w:altName w:val="MS Gothic"/>
    <w:panose1 w:val="00000000000000000000"/>
    <w:charset w:val="80"/>
    <w:family w:val="auto"/>
    <w:pitch w:val="default"/>
    <w:sig w:usb0="00000000" w:usb1="00000000" w:usb2="00000000" w:usb3="00000000" w:csb0="00040001" w:csb1="00000000"/>
  </w:font>
  <w:font w:name="MS Gothic">
    <w:panose1 w:val="020B0609070205080204"/>
    <w:charset w:val="80"/>
    <w:family w:val="auto"/>
    <w:pitch w:val="default"/>
    <w:sig w:usb0="E00002FF" w:usb1="6AC7FDFB" w:usb2="08000012" w:usb3="00000000" w:csb0="4002009F" w:csb1="DFD7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华文细黑">
    <w:altName w:val="微软雅黑"/>
    <w:panose1 w:val="00000000000000000000"/>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ZerI4AgAAb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Vl6sjgCAABvBAAADgAAAAAAAAABACAAAAAfAQAAZHJzL2Uyb0RvYy54&#10;bWxQSwUGAAAAAAYABgBZAQAAyQUAAAAA&#10;">
              <v:fill on="f" focussize="0,0"/>
              <v:stroke on="f" weight="0.5pt"/>
              <v:imagedata o:title=""/>
              <o:lock v:ext="edit" aspectratio="f"/>
              <v:textbox inset="0mm,0mm,0mm,0mm" style="mso-fit-shape-to-text:t;">
                <w:txbxContent>
                  <w:p>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BCXA3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R+vqQ9U9&#10;wBxaFrZ6Z3lME6XydnUMkDYpHgXqVEGn4gGTmHrWb00c9T/PKerx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awQlwNwIAAHEEAAAOAAAAAAAAAAEAIAAAAB8BAABkcnMvZTJvRG9jLnht&#10;bFBLBQYAAAAABgAGAFkBAADIBQAAAAA=&#10;">
              <v:fill on="f" focussize="0,0"/>
              <v:stroke on="f" weight="0.5pt"/>
              <v:imagedata o:title=""/>
              <o:lock v:ext="edit" aspectratio="f"/>
              <v:textbox inset="0mm,0mm,0mm,0mm" style="mso-fit-shape-to-text:t;">
                <w:txbxContent>
                  <w:p>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72185" cy="147955"/>
              <wp:effectExtent l="0" t="0" r="0" b="0"/>
              <wp:wrapNone/>
              <wp:docPr id="7" name="矩形 7"/>
              <wp:cNvGraphicFramePr/>
              <a:graphic xmlns:a="http://schemas.openxmlformats.org/drawingml/2006/main">
                <a:graphicData uri="http://schemas.microsoft.com/office/word/2010/wordprocessingShape">
                  <wps:wsp>
                    <wps:cNvSpPr>
                      <a:spLocks noChangeArrowheads="1"/>
                    </wps:cNvSpPr>
                    <wps:spPr bwMode="auto">
                      <a:xfrm>
                        <a:off x="0" y="0"/>
                        <a:ext cx="972185" cy="147955"/>
                      </a:xfrm>
                      <a:prstGeom prst="rect">
                        <a:avLst/>
                      </a:prstGeom>
                      <a:noFill/>
                      <a:ln>
                        <a:noFill/>
                      </a:ln>
                      <a:effectLst/>
                    </wps:spPr>
                    <wps:txbx>
                      <w:txbxContent>
                        <w:p>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wps:txbx>
                    <wps:bodyPr rot="0" vert="horz" wrap="none" lIns="0" tIns="0" rIns="0" bIns="0" anchor="t" anchorCtr="0" upright="1">
                      <a:spAutoFit/>
                    </wps:bodyPr>
                  </wps:wsp>
                </a:graphicData>
              </a:graphic>
            </wp:anchor>
          </w:drawing>
        </mc:Choice>
        <mc:Fallback>
          <w:pict>
            <v:rect id="_x0000_s1026" o:spid="_x0000_s1026" o:spt="1" style="position:absolute;left:0pt;margin-top:0pt;height:11.65pt;width:76.55pt;mso-position-horizontal:center;mso-position-horizontal-relative:margin;mso-wrap-style:none;z-index:251659264;mso-width-relative:page;mso-height-relative:page;" filled="f" stroked="f" coordsize="21600,21600" o:gfxdata="UEsDBAoAAAAAAIdO4kAAAAAAAAAAAAAAAAAEAAAAZHJzL1BLAwQUAAAACACHTuJA8dVOHtIAAAAE&#10;AQAADwAAAGRycy9kb3ducmV2LnhtbE2PzWrDMBCE74W+g9hCb41km5bgWs4hEEhKLnH6AIq1/iHS&#10;ykhKnL59lVzay8Iww8y31epmDbuiD6MjCdlCAENqnR6pl/B93LwtgYWoSCvjCCX8YIBV/fxUqVK7&#10;mQ54bWLPUgmFUkkYYpxKzkM7oFVh4Sak5HXOWxWT9D3XXs2p3BqeC/HBrRopLQxqwvWA7bm5WAn8&#10;2GzmZWO8cF95tze77aFDJ+XrSyY+gUW8xb8w3PETOtSJ6eQupAMzEtIj8XHv3nuRATtJyIsCeF3x&#10;//D1L1BLAwQUAAAACACHTuJAzxeW9wUCAAADBAAADgAAAGRycy9lMm9Eb2MueG1srVPBjtMwEL0j&#10;8Q+W7zRNRelu1HS12qoIaYGVFj7AdZzEIvFYY7dJ+RkkbnwEn7PiNxg7SWGXyx64WOPxzJt5b8br&#10;q75t2FGh02Byns7mnCkjodCmyvnnT7tXF5w5L0whGjAq5yfl+NXm5Yt1ZzO1gBqaQiEjEOOyzua8&#10;9t5mSeJkrVrhZmCVoccSsBWerlglBYqO0NsmWcznb5IOsLAIUjlH3u3wyEdEfA4glKWWagvy0Crj&#10;B1RUjfBEydXaOr6J3Zalkv5jWTrlWZNzYurjSUXI3ocz2axFVqGwtZZjC+I5LTzh1AptqOgZaiu8&#10;YAfU/0C1WiI4KP1MQpsMRKIixCKdP9HmvhZWRS4ktbNn0d3/g5UfjnfIdJHzFWdGtDTwX99+PPz8&#10;zlZBm866jELu7R0Gds7egvzimIGbWphKXSNCVytRUEdpiE8eJYSLo1S2795DQdDi4CHK1JfYBkAS&#10;gPVxGqfzNFTvmSTn5WqRXiw5k/SUvl5dLpexgsimZIvOv1XQsmDkHGnYEVwcb50PzYhsCgm1DOx0&#10;08SBN+aRgwIHj4obM2ZP3Q8q+H7fj4LsoTgRKYRhm+gvkVEDfuWso03KuaGPw1nzzpAsYekmAydj&#10;PxnCSErMuedsMG/8sJwHi7qqCTeNlJy9Jul2OtIKjQ09jILTbkS24x6H5fv7HqP+/N3N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HVTh7SAAAABAEAAA8AAAAAAAAAAQAgAAAAIgAAAGRycy9kb3du&#10;cmV2LnhtbFBLAQIUABQAAAAIAIdO4kDPF5b3BQIAAAMEAAAOAAAAAAAAAAEAIAAAACEBAABkcnMv&#10;ZTJvRG9jLnhtbFBLBQYAAAAABgAGAFkBAACYBQAAAAA=&#10;">
              <v:fill on="f" focussize="0,0"/>
              <v:stroke on="f"/>
              <v:imagedata o:title=""/>
              <o:lock v:ext="edit" aspectratio="f"/>
              <v:textbox inset="0mm,0mm,0mm,0mm" style="mso-fit-shape-to-text:t;">
                <w:txbxContent>
                  <w:p>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972185" cy="147955"/>
              <wp:effectExtent l="0" t="0" r="0" b="0"/>
              <wp:wrapNone/>
              <wp:docPr id="6" name="矩形 6"/>
              <wp:cNvGraphicFramePr/>
              <a:graphic xmlns:a="http://schemas.openxmlformats.org/drawingml/2006/main">
                <a:graphicData uri="http://schemas.microsoft.com/office/word/2010/wordprocessingShape">
                  <wps:wsp>
                    <wps:cNvSpPr>
                      <a:spLocks noChangeArrowheads="1"/>
                    </wps:cNvSpPr>
                    <wps:spPr bwMode="auto">
                      <a:xfrm>
                        <a:off x="0" y="0"/>
                        <a:ext cx="972185" cy="147955"/>
                      </a:xfrm>
                      <a:prstGeom prst="rect">
                        <a:avLst/>
                      </a:prstGeom>
                      <a:noFill/>
                      <a:ln>
                        <a:noFill/>
                      </a:ln>
                      <a:effectLst/>
                    </wps:spPr>
                    <wps:txbx>
                      <w:txbxContent>
                        <w:p>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wps:txbx>
                    <wps:bodyPr rot="0" vert="horz" wrap="none" lIns="0" tIns="0" rIns="0" bIns="0" anchor="t" anchorCtr="0" upright="1">
                      <a:spAutoFit/>
                    </wps:bodyPr>
                  </wps:wsp>
                </a:graphicData>
              </a:graphic>
            </wp:anchor>
          </w:drawing>
        </mc:Choice>
        <mc:Fallback>
          <w:pict>
            <v:rect id="_x0000_s1026" o:spid="_x0000_s1026" o:spt="1" style="position:absolute;left:0pt;margin-top:0pt;height:11.65pt;width:76.55pt;mso-position-horizontal:center;mso-position-horizontal-relative:margin;mso-wrap-style:none;z-index:251660288;mso-width-relative:page;mso-height-relative:page;" filled="f" stroked="f" coordsize="21600,21600" o:gfxdata="UEsDBAoAAAAAAIdO4kAAAAAAAAAAAAAAAAAEAAAAZHJzL1BLAwQUAAAACACHTuJA8dVOHtIAAAAE&#10;AQAADwAAAGRycy9kb3ducmV2LnhtbE2PzWrDMBCE74W+g9hCb41km5bgWs4hEEhKLnH6AIq1/iHS&#10;ykhKnL59lVzay8Iww8y31epmDbuiD6MjCdlCAENqnR6pl/B93LwtgYWoSCvjCCX8YIBV/fxUqVK7&#10;mQ54bWLPUgmFUkkYYpxKzkM7oFVh4Sak5HXOWxWT9D3XXs2p3BqeC/HBrRopLQxqwvWA7bm5WAn8&#10;2GzmZWO8cF95tze77aFDJ+XrSyY+gUW8xb8w3PETOtSJ6eQupAMzEtIj8XHv3nuRATtJyIsCeF3x&#10;//D1L1BLAwQUAAAACACHTuJAtUW/SAUCAAADBAAADgAAAGRycy9lMm9Eb2MueG1srVPBjtMwEL0j&#10;8Q+W7zRNRbu7UdPVaqsipAVWWvgA13ESi8Rjjd0m5WeQuPERfA7iNxg7SWGXyx64WOPxzJt5b8br&#10;675t2FGh02Byns7mnCkjodCmyvmnj7tXl5w5L0whGjAq5yfl+PXm5Yt1ZzO1gBqaQiEjEOOyzua8&#10;9t5mSeJkrVrhZmCVoccSsBWerlglBYqO0NsmWcznq6QDLCyCVM6Rdzs88hERnwMIZaml2oI8tMr4&#10;ARVVIzxRcrW2jm9it2WppP9Qlk551uScmPp4UhGy9+FMNmuRVShsreXYgnhOC084tUIbKnqG2gov&#10;2AH1P1CtlggOSj+T0CYDkagIsUjnT7R5qIVVkQtJ7exZdPf/YOX74z0yXeR8xZkRLQ3819fvP398&#10;Y6ugTWddRiEP9h4DO2fvQH52zMBtLUylbhChq5UoqKM0xCePEsLFUSrbd++gIGhx8BBl6ktsAyAJ&#10;wPo4jdN5Gqr3TJLz6mKRXi45k/SUvr64Wi5jBZFNyRadf6OgZcHIOdKwI7g43jkfmhHZFBJqGdjp&#10;pokDb8wjBwUOHhU3Zsyeuh9U8P2+HwXZQ3EiUgjDNtFfIqMG/MJZR5uUc0Mfh7PmrSFZwtJNBk7G&#10;fjKEkZSYc8/ZYN76YTkPFnVVE24aKTl7Q9LtdKQVGht6GAWn3Yhsxz0Oy/f3PUb9+bu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HVTh7SAAAABAEAAA8AAAAAAAAAAQAgAAAAIgAAAGRycy9kb3du&#10;cmV2LnhtbFBLAQIUABQAAAAIAIdO4kC1Rb9IBQIAAAMEAAAOAAAAAAAAAAEAIAAAACEBAABkcnMv&#10;ZTJvRG9jLnhtbFBLBQYAAAAABgAGAFkBAACYBQAAAAA=&#10;">
              <v:fill on="f" focussize="0,0"/>
              <v:stroke on="f"/>
              <v:imagedata o:title=""/>
              <o:lock v:ext="edit" aspectratio="f"/>
              <v:textbox inset="0mm,0mm,0mm,0mm" style="mso-fit-shape-to-text:t;">
                <w:txbxContent>
                  <w:p>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zQzU3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R+vqQ9Vd&#10;wBxaFrZ6Z3lME6XydnUMkDYpHgXqVEGn4gaTmHrWv5o46n/uU9Tj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7c0M1NwIAAHEEAAAOAAAAAAAAAAEAIAAAAB8BAABkcnMvZTJvRG9jLnht&#10;bFBLBQYAAAAABgAGAFkBAADIBQAAAAA=&#10;">
              <v:fill on="f" focussize="0,0"/>
              <v:stroke on="f" weight="0.5pt"/>
              <v:imagedata o:title=""/>
              <o:lock v:ext="edit" aspectratio="f"/>
              <v:textbox inset="0mm,0mm,0mm,0mm" style="mso-fit-shape-to-text:t;">
                <w:txbxContent>
                  <w:p>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v:shape>
          </w:pict>
        </mc:Fallback>
      </mc:AlternateContent>
    </w:r>
  </w:p>
  <w:p>
    <w:pPr>
      <w:jc w:val="center"/>
    </w:pPr>
    <w:sdt>
      <w:sdtPr>
        <w:id w:val="1979636099"/>
      </w:sdtPr>
      <w:sdtContent/>
    </w:sdt>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rPr>
        <w:sz w:val="21"/>
        <w:szCs w:val="21"/>
      </w:rPr>
    </w:pPr>
    <w:r>
      <w:rPr>
        <w:rFonts w:hint="eastAsia"/>
        <w:sz w:val="21"/>
        <w:szCs w:val="21"/>
      </w:rPr>
      <w:t>黄石市城发建设有限公司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0"/>
                            <w:jc w:val="both"/>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kX1r85AgAAc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DkX1r85AgAAcQQAAA4AAAAAAAAAAQAgAAAAHwEAAGRycy9lMm9Eb2Mu&#10;eG1sUEsFBgAAAAAGAAYAWQEAAMoFAAAAAA==&#10;">
              <v:fill on="f" focussize="0,0"/>
              <v:stroke on="f" weight="0.5pt"/>
              <v:imagedata o:title=""/>
              <o:lock v:ext="edit" aspectratio="f"/>
              <v:textbox inset="0mm,0mm,0mm,0mm" style="mso-fit-shape-to-text:t;">
                <w:txbxContent>
                  <w:p>
                    <w:pPr>
                      <w:pStyle w:val="20"/>
                      <w:jc w:val="both"/>
                    </w:pPr>
                  </w:p>
                </w:txbxContent>
              </v:textbox>
            </v:shape>
          </w:pict>
        </mc:Fallback>
      </mc:AlternateContent>
    </w:r>
    <w:r>
      <w:rPr>
        <w:rFonts w:hint="eastAsia"/>
      </w:rPr>
      <w:t>黄石市城发建设有限公司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jc w:val="center"/>
    </w:pPr>
    <w:r>
      <w:rPr>
        <w:rFonts w:hint="eastAsia"/>
      </w:rPr>
      <w:t>黄石市城发建设有限公司</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rFonts w:hint="eastAsia"/>
      </w:rPr>
      <w:t>黄石市城发建设有限公司</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double" w:color="auto" w:sz="8" w:space="1"/>
      </w:pBdr>
      <w:rPr>
        <w:rFonts w:ascii="宋体" w:hAnsi="宋体" w:cs="宋体"/>
        <w:sz w:val="22"/>
        <w:szCs w:val="22"/>
      </w:rPr>
    </w:pPr>
    <w:r>
      <w:rPr>
        <w:rFonts w:hint="eastAsia" w:ascii="宋体" w:hAnsi="宋体" w:cs="宋体"/>
        <w:sz w:val="22"/>
        <w:szCs w:val="22"/>
      </w:rPr>
      <w:t>黄石市城发建设有限公司</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6"/>
    <w:multiLevelType w:val="multilevel"/>
    <w:tmpl w:val="00000016"/>
    <w:lvl w:ilvl="0" w:tentative="0">
      <w:start w:val="1"/>
      <w:numFmt w:val="decimal"/>
      <w:pStyle w:val="41"/>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1">
    <w:nsid w:val="006C293E"/>
    <w:multiLevelType w:val="singleLevel"/>
    <w:tmpl w:val="006C293E"/>
    <w:lvl w:ilvl="0" w:tentative="0">
      <w:start w:val="1"/>
      <w:numFmt w:val="decimal"/>
      <w:suff w:val="nothing"/>
      <w:lvlText w:val="（%1）"/>
      <w:lvlJc w:val="left"/>
    </w:lvl>
  </w:abstractNum>
  <w:abstractNum w:abstractNumId="2">
    <w:nsid w:val="11540A00"/>
    <w:multiLevelType w:val="multilevel"/>
    <w:tmpl w:val="11540A00"/>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A72868F"/>
    <w:multiLevelType w:val="singleLevel"/>
    <w:tmpl w:val="3A72868F"/>
    <w:lvl w:ilvl="0" w:tentative="0">
      <w:start w:val="1"/>
      <w:numFmt w:val="chineseCounting"/>
      <w:suff w:val="space"/>
      <w:lvlText w:val="第%1条"/>
      <w:lvlJc w:val="left"/>
      <w:rPr>
        <w:rFonts w:hint="eastAsia"/>
      </w:rPr>
    </w:lvl>
  </w:abstractNum>
  <w:abstractNum w:abstractNumId="4">
    <w:nsid w:val="59688124"/>
    <w:multiLevelType w:val="multilevel"/>
    <w:tmpl w:val="59688124"/>
    <w:lvl w:ilvl="0" w:tentative="0">
      <w:start w:val="1"/>
      <w:numFmt w:val="bullet"/>
      <w:lvlText w:val=""/>
      <w:lvlJc w:val="left"/>
      <w:pPr>
        <w:tabs>
          <w:tab w:val="left" w:pos="1814"/>
        </w:tabs>
        <w:ind w:left="1814" w:hanging="396"/>
      </w:pPr>
      <w:rPr>
        <w:rFonts w:hint="default" w:ascii="Wingdings" w:hAnsi="Wingdings"/>
      </w:rPr>
    </w:lvl>
    <w:lvl w:ilvl="1" w:tentative="0">
      <w:start w:val="1"/>
      <w:numFmt w:val="bullet"/>
      <w:pStyle w:val="40"/>
      <w:lvlText w:val=""/>
      <w:lvlJc w:val="left"/>
      <w:pPr>
        <w:ind w:left="420" w:hanging="420"/>
      </w:pPr>
      <w:rPr>
        <w:rFonts w:hint="default" w:ascii="Wingdings" w:hAnsi="Wingdings"/>
      </w:rPr>
    </w:lvl>
    <w:lvl w:ilvl="2" w:tentative="0">
      <w:start w:val="1"/>
      <w:numFmt w:val="bullet"/>
      <w:lvlText w:val=""/>
      <w:lvlJc w:val="left"/>
      <w:pPr>
        <w:ind w:left="2678" w:hanging="420"/>
      </w:pPr>
      <w:rPr>
        <w:rFonts w:hint="default" w:ascii="Wingdings" w:hAnsi="Wingdings"/>
      </w:rPr>
    </w:lvl>
    <w:lvl w:ilvl="3" w:tentative="0">
      <w:start w:val="1"/>
      <w:numFmt w:val="bullet"/>
      <w:lvlText w:val=""/>
      <w:lvlJc w:val="left"/>
      <w:pPr>
        <w:ind w:left="3098" w:hanging="420"/>
      </w:pPr>
      <w:rPr>
        <w:rFonts w:hint="default" w:ascii="Wingdings" w:hAnsi="Wingdings"/>
      </w:rPr>
    </w:lvl>
    <w:lvl w:ilvl="4" w:tentative="0">
      <w:start w:val="1"/>
      <w:numFmt w:val="bullet"/>
      <w:lvlText w:val=""/>
      <w:lvlJc w:val="left"/>
      <w:pPr>
        <w:ind w:left="3518" w:hanging="420"/>
      </w:pPr>
      <w:rPr>
        <w:rFonts w:hint="default" w:ascii="Wingdings" w:hAnsi="Wingdings"/>
      </w:rPr>
    </w:lvl>
    <w:lvl w:ilvl="5" w:tentative="0">
      <w:start w:val="1"/>
      <w:numFmt w:val="bullet"/>
      <w:lvlText w:val=""/>
      <w:lvlJc w:val="left"/>
      <w:pPr>
        <w:ind w:left="3938" w:hanging="420"/>
      </w:pPr>
      <w:rPr>
        <w:rFonts w:hint="default" w:ascii="Wingdings" w:hAnsi="Wingdings"/>
      </w:rPr>
    </w:lvl>
    <w:lvl w:ilvl="6" w:tentative="0">
      <w:start w:val="1"/>
      <w:numFmt w:val="bullet"/>
      <w:lvlText w:val=""/>
      <w:lvlJc w:val="left"/>
      <w:pPr>
        <w:ind w:left="4358" w:hanging="420"/>
      </w:pPr>
      <w:rPr>
        <w:rFonts w:hint="default" w:ascii="Wingdings" w:hAnsi="Wingdings"/>
      </w:rPr>
    </w:lvl>
    <w:lvl w:ilvl="7" w:tentative="0">
      <w:start w:val="1"/>
      <w:numFmt w:val="bullet"/>
      <w:lvlText w:val=""/>
      <w:lvlJc w:val="left"/>
      <w:pPr>
        <w:ind w:left="4778" w:hanging="420"/>
      </w:pPr>
      <w:rPr>
        <w:rFonts w:hint="default" w:ascii="Wingdings" w:hAnsi="Wingdings"/>
      </w:rPr>
    </w:lvl>
    <w:lvl w:ilvl="8" w:tentative="0">
      <w:start w:val="1"/>
      <w:numFmt w:val="bullet"/>
      <w:lvlText w:val=""/>
      <w:lvlJc w:val="left"/>
      <w:pPr>
        <w:ind w:left="5198" w:hanging="420"/>
      </w:pPr>
      <w:rPr>
        <w:rFonts w:hint="default" w:ascii="Wingdings" w:hAnsi="Wingdings"/>
      </w:rPr>
    </w:lvl>
  </w:abstractNum>
  <w:abstractNum w:abstractNumId="5">
    <w:nsid w:val="59E3199E"/>
    <w:multiLevelType w:val="singleLevel"/>
    <w:tmpl w:val="59E3199E"/>
    <w:lvl w:ilvl="0" w:tentative="0">
      <w:start w:val="1"/>
      <w:numFmt w:val="decimal"/>
      <w:suff w:val="space"/>
      <w:lvlText w:val="(%1)"/>
      <w:lvlJc w:val="left"/>
    </w:lvl>
  </w:abstractNum>
  <w:abstractNum w:abstractNumId="6">
    <w:nsid w:val="5A178C8D"/>
    <w:multiLevelType w:val="singleLevel"/>
    <w:tmpl w:val="5A178C8D"/>
    <w:lvl w:ilvl="0" w:tentative="0">
      <w:start w:val="1"/>
      <w:numFmt w:val="decimal"/>
      <w:suff w:val="space"/>
      <w:lvlText w:val="%1."/>
      <w:lvlJc w:val="left"/>
    </w:lvl>
  </w:abstractNum>
  <w:abstractNum w:abstractNumId="7">
    <w:nsid w:val="5A4C4A66"/>
    <w:multiLevelType w:val="singleLevel"/>
    <w:tmpl w:val="5A4C4A66"/>
    <w:lvl w:ilvl="0" w:tentative="0">
      <w:start w:val="2"/>
      <w:numFmt w:val="decimal"/>
      <w:suff w:val="nothing"/>
      <w:lvlText w:val="%1、"/>
      <w:lvlJc w:val="left"/>
    </w:lvl>
  </w:abstractNum>
  <w:num w:numId="1">
    <w:abstractNumId w:val="4"/>
  </w:num>
  <w:num w:numId="2">
    <w:abstractNumId w:val="0"/>
  </w:num>
  <w:num w:numId="3">
    <w:abstractNumId w:val="2"/>
  </w:num>
  <w:num w:numId="4">
    <w:abstractNumId w:val="3"/>
  </w:num>
  <w:num w:numId="5">
    <w:abstractNumId w:val="7"/>
  </w:num>
  <w:num w:numId="6">
    <w:abstractNumId w:val="1"/>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rawingGridVerticalSpacing w:val="0"/>
  <w:noPunctuationKerning w:val="1"/>
  <w:characterSpacingControl w:val="doNotCompress"/>
  <w:hdrShapeDefaults>
    <o:shapelayout v:ext="edit">
      <o:idmap v:ext="edit" data="1"/>
    </o:shapelayout>
  </w:hdrShapeDefaults>
  <w:endnotePr>
    <w:numFmt w:val="decimal"/>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67E"/>
    <w:rsid w:val="00001EDC"/>
    <w:rsid w:val="00002D11"/>
    <w:rsid w:val="000039D1"/>
    <w:rsid w:val="00006A9E"/>
    <w:rsid w:val="00006E90"/>
    <w:rsid w:val="00006FF1"/>
    <w:rsid w:val="0000711F"/>
    <w:rsid w:val="00007BDA"/>
    <w:rsid w:val="00007E3D"/>
    <w:rsid w:val="00010B08"/>
    <w:rsid w:val="00010C27"/>
    <w:rsid w:val="000112A9"/>
    <w:rsid w:val="000116CB"/>
    <w:rsid w:val="00012FDD"/>
    <w:rsid w:val="000154E6"/>
    <w:rsid w:val="00016093"/>
    <w:rsid w:val="000176D1"/>
    <w:rsid w:val="00017DA2"/>
    <w:rsid w:val="000228A5"/>
    <w:rsid w:val="00024AD7"/>
    <w:rsid w:val="00024D1B"/>
    <w:rsid w:val="00024E45"/>
    <w:rsid w:val="00024E4B"/>
    <w:rsid w:val="00025844"/>
    <w:rsid w:val="000260C9"/>
    <w:rsid w:val="00032185"/>
    <w:rsid w:val="00032BD5"/>
    <w:rsid w:val="000345A6"/>
    <w:rsid w:val="000348C5"/>
    <w:rsid w:val="000351F6"/>
    <w:rsid w:val="00035619"/>
    <w:rsid w:val="00037D4A"/>
    <w:rsid w:val="00037EF2"/>
    <w:rsid w:val="00040253"/>
    <w:rsid w:val="0004155A"/>
    <w:rsid w:val="000415DF"/>
    <w:rsid w:val="00041DE7"/>
    <w:rsid w:val="0004328A"/>
    <w:rsid w:val="00043724"/>
    <w:rsid w:val="00045BA0"/>
    <w:rsid w:val="00046C83"/>
    <w:rsid w:val="00047234"/>
    <w:rsid w:val="0004795E"/>
    <w:rsid w:val="00047DC8"/>
    <w:rsid w:val="00047FA7"/>
    <w:rsid w:val="000501FA"/>
    <w:rsid w:val="00051285"/>
    <w:rsid w:val="00051A74"/>
    <w:rsid w:val="000525B5"/>
    <w:rsid w:val="00053D5B"/>
    <w:rsid w:val="00053E69"/>
    <w:rsid w:val="00053F25"/>
    <w:rsid w:val="00054B80"/>
    <w:rsid w:val="00055871"/>
    <w:rsid w:val="00055C56"/>
    <w:rsid w:val="000569F9"/>
    <w:rsid w:val="000577F9"/>
    <w:rsid w:val="00060A2F"/>
    <w:rsid w:val="00061372"/>
    <w:rsid w:val="000616CF"/>
    <w:rsid w:val="000621F2"/>
    <w:rsid w:val="0006245E"/>
    <w:rsid w:val="000627C1"/>
    <w:rsid w:val="00062A4F"/>
    <w:rsid w:val="00062AC7"/>
    <w:rsid w:val="00062F31"/>
    <w:rsid w:val="0006345C"/>
    <w:rsid w:val="00063D3A"/>
    <w:rsid w:val="000666E6"/>
    <w:rsid w:val="00067020"/>
    <w:rsid w:val="000700EE"/>
    <w:rsid w:val="00072791"/>
    <w:rsid w:val="000727E3"/>
    <w:rsid w:val="00072D8C"/>
    <w:rsid w:val="0007598A"/>
    <w:rsid w:val="0007612D"/>
    <w:rsid w:val="0007708E"/>
    <w:rsid w:val="00077DEE"/>
    <w:rsid w:val="0008156B"/>
    <w:rsid w:val="00082073"/>
    <w:rsid w:val="00082168"/>
    <w:rsid w:val="00082BE1"/>
    <w:rsid w:val="00087056"/>
    <w:rsid w:val="00087629"/>
    <w:rsid w:val="00087FC6"/>
    <w:rsid w:val="00092004"/>
    <w:rsid w:val="00092370"/>
    <w:rsid w:val="00092889"/>
    <w:rsid w:val="00093ED3"/>
    <w:rsid w:val="00094B30"/>
    <w:rsid w:val="000A1C37"/>
    <w:rsid w:val="000A2013"/>
    <w:rsid w:val="000A22FF"/>
    <w:rsid w:val="000A2900"/>
    <w:rsid w:val="000A2B7C"/>
    <w:rsid w:val="000A35F8"/>
    <w:rsid w:val="000A3E43"/>
    <w:rsid w:val="000A44FA"/>
    <w:rsid w:val="000A541D"/>
    <w:rsid w:val="000A59A5"/>
    <w:rsid w:val="000A6408"/>
    <w:rsid w:val="000B3DDC"/>
    <w:rsid w:val="000B5B18"/>
    <w:rsid w:val="000B6148"/>
    <w:rsid w:val="000B7516"/>
    <w:rsid w:val="000C0D34"/>
    <w:rsid w:val="000C10E2"/>
    <w:rsid w:val="000C11B5"/>
    <w:rsid w:val="000C151F"/>
    <w:rsid w:val="000C26EF"/>
    <w:rsid w:val="000C2AB8"/>
    <w:rsid w:val="000C362C"/>
    <w:rsid w:val="000C3A6D"/>
    <w:rsid w:val="000C5E70"/>
    <w:rsid w:val="000C62DC"/>
    <w:rsid w:val="000C6CDE"/>
    <w:rsid w:val="000C6FDE"/>
    <w:rsid w:val="000C7402"/>
    <w:rsid w:val="000C7B95"/>
    <w:rsid w:val="000D0D37"/>
    <w:rsid w:val="000D1159"/>
    <w:rsid w:val="000D1C12"/>
    <w:rsid w:val="000D332B"/>
    <w:rsid w:val="000D3A4A"/>
    <w:rsid w:val="000D40B5"/>
    <w:rsid w:val="000D4808"/>
    <w:rsid w:val="000D5C49"/>
    <w:rsid w:val="000D6B8C"/>
    <w:rsid w:val="000D6CC5"/>
    <w:rsid w:val="000D6CD4"/>
    <w:rsid w:val="000D7152"/>
    <w:rsid w:val="000D71F3"/>
    <w:rsid w:val="000D7C51"/>
    <w:rsid w:val="000E0DA9"/>
    <w:rsid w:val="000E1728"/>
    <w:rsid w:val="000E3154"/>
    <w:rsid w:val="000E420D"/>
    <w:rsid w:val="000E4625"/>
    <w:rsid w:val="000E5510"/>
    <w:rsid w:val="000E6CE4"/>
    <w:rsid w:val="000E6EF8"/>
    <w:rsid w:val="000E7C53"/>
    <w:rsid w:val="000F0552"/>
    <w:rsid w:val="000F06D1"/>
    <w:rsid w:val="000F2165"/>
    <w:rsid w:val="000F2881"/>
    <w:rsid w:val="000F2E9E"/>
    <w:rsid w:val="000F31C0"/>
    <w:rsid w:val="000F39D7"/>
    <w:rsid w:val="000F3F65"/>
    <w:rsid w:val="000F4955"/>
    <w:rsid w:val="000F5A48"/>
    <w:rsid w:val="000F6245"/>
    <w:rsid w:val="000F6480"/>
    <w:rsid w:val="000F6743"/>
    <w:rsid w:val="000F7162"/>
    <w:rsid w:val="001000ED"/>
    <w:rsid w:val="00100583"/>
    <w:rsid w:val="00100811"/>
    <w:rsid w:val="0010169C"/>
    <w:rsid w:val="00102036"/>
    <w:rsid w:val="00103AC5"/>
    <w:rsid w:val="001044D8"/>
    <w:rsid w:val="00104E80"/>
    <w:rsid w:val="00105260"/>
    <w:rsid w:val="0010704C"/>
    <w:rsid w:val="001101A0"/>
    <w:rsid w:val="0011034D"/>
    <w:rsid w:val="00110B47"/>
    <w:rsid w:val="0011147E"/>
    <w:rsid w:val="001118B1"/>
    <w:rsid w:val="001120B3"/>
    <w:rsid w:val="001128D2"/>
    <w:rsid w:val="00114AC4"/>
    <w:rsid w:val="001152E7"/>
    <w:rsid w:val="00115316"/>
    <w:rsid w:val="001165F9"/>
    <w:rsid w:val="00117A6C"/>
    <w:rsid w:val="00117A77"/>
    <w:rsid w:val="00117A84"/>
    <w:rsid w:val="001208C6"/>
    <w:rsid w:val="0012394C"/>
    <w:rsid w:val="00124ADC"/>
    <w:rsid w:val="0012595B"/>
    <w:rsid w:val="00126450"/>
    <w:rsid w:val="00126D4B"/>
    <w:rsid w:val="00130079"/>
    <w:rsid w:val="001309CE"/>
    <w:rsid w:val="00132451"/>
    <w:rsid w:val="001365EF"/>
    <w:rsid w:val="00136E55"/>
    <w:rsid w:val="001406E8"/>
    <w:rsid w:val="0014146F"/>
    <w:rsid w:val="00141617"/>
    <w:rsid w:val="00141C65"/>
    <w:rsid w:val="00142C89"/>
    <w:rsid w:val="00143932"/>
    <w:rsid w:val="00144136"/>
    <w:rsid w:val="00144301"/>
    <w:rsid w:val="0014482A"/>
    <w:rsid w:val="00145052"/>
    <w:rsid w:val="00145920"/>
    <w:rsid w:val="00145EE6"/>
    <w:rsid w:val="0014669D"/>
    <w:rsid w:val="00146BA3"/>
    <w:rsid w:val="00150031"/>
    <w:rsid w:val="00151B0E"/>
    <w:rsid w:val="0015735B"/>
    <w:rsid w:val="00157526"/>
    <w:rsid w:val="001601FA"/>
    <w:rsid w:val="00160CF0"/>
    <w:rsid w:val="00160F89"/>
    <w:rsid w:val="00161949"/>
    <w:rsid w:val="00161DC9"/>
    <w:rsid w:val="001635D4"/>
    <w:rsid w:val="00164EA0"/>
    <w:rsid w:val="00165266"/>
    <w:rsid w:val="0016590E"/>
    <w:rsid w:val="001666B9"/>
    <w:rsid w:val="0017086A"/>
    <w:rsid w:val="00170E38"/>
    <w:rsid w:val="0017438D"/>
    <w:rsid w:val="00174773"/>
    <w:rsid w:val="0017535A"/>
    <w:rsid w:val="001754AF"/>
    <w:rsid w:val="00175879"/>
    <w:rsid w:val="00175911"/>
    <w:rsid w:val="00175A70"/>
    <w:rsid w:val="00175CA1"/>
    <w:rsid w:val="001779EF"/>
    <w:rsid w:val="00180573"/>
    <w:rsid w:val="00180FCF"/>
    <w:rsid w:val="00182605"/>
    <w:rsid w:val="001837A4"/>
    <w:rsid w:val="001838FE"/>
    <w:rsid w:val="001839A5"/>
    <w:rsid w:val="00184642"/>
    <w:rsid w:val="00184B7D"/>
    <w:rsid w:val="00186CFB"/>
    <w:rsid w:val="0018743D"/>
    <w:rsid w:val="00187657"/>
    <w:rsid w:val="00187DAC"/>
    <w:rsid w:val="00190496"/>
    <w:rsid w:val="00191FF1"/>
    <w:rsid w:val="001932B7"/>
    <w:rsid w:val="00193EF8"/>
    <w:rsid w:val="001945C6"/>
    <w:rsid w:val="001961E6"/>
    <w:rsid w:val="00196493"/>
    <w:rsid w:val="00197154"/>
    <w:rsid w:val="0019736E"/>
    <w:rsid w:val="00197F59"/>
    <w:rsid w:val="001A04AE"/>
    <w:rsid w:val="001A0BF2"/>
    <w:rsid w:val="001A0C4C"/>
    <w:rsid w:val="001A29DB"/>
    <w:rsid w:val="001A3E04"/>
    <w:rsid w:val="001A43EB"/>
    <w:rsid w:val="001A463B"/>
    <w:rsid w:val="001A6338"/>
    <w:rsid w:val="001A71D8"/>
    <w:rsid w:val="001B126E"/>
    <w:rsid w:val="001B1A1B"/>
    <w:rsid w:val="001B23C2"/>
    <w:rsid w:val="001B25E5"/>
    <w:rsid w:val="001B33E6"/>
    <w:rsid w:val="001B4CD5"/>
    <w:rsid w:val="001B60FE"/>
    <w:rsid w:val="001B7531"/>
    <w:rsid w:val="001B7B54"/>
    <w:rsid w:val="001C12AA"/>
    <w:rsid w:val="001C1358"/>
    <w:rsid w:val="001C15E9"/>
    <w:rsid w:val="001C2A1B"/>
    <w:rsid w:val="001C62D0"/>
    <w:rsid w:val="001C7459"/>
    <w:rsid w:val="001D04F5"/>
    <w:rsid w:val="001D3588"/>
    <w:rsid w:val="001D3A17"/>
    <w:rsid w:val="001D43C0"/>
    <w:rsid w:val="001D5722"/>
    <w:rsid w:val="001D6158"/>
    <w:rsid w:val="001E02CF"/>
    <w:rsid w:val="001E0468"/>
    <w:rsid w:val="001E28E1"/>
    <w:rsid w:val="001E2C5C"/>
    <w:rsid w:val="001E2F18"/>
    <w:rsid w:val="001E33EF"/>
    <w:rsid w:val="001E37BF"/>
    <w:rsid w:val="001E3A6F"/>
    <w:rsid w:val="001E4AEA"/>
    <w:rsid w:val="001E52CF"/>
    <w:rsid w:val="001E53B0"/>
    <w:rsid w:val="001E7192"/>
    <w:rsid w:val="001E71E2"/>
    <w:rsid w:val="001F29D8"/>
    <w:rsid w:val="001F3B52"/>
    <w:rsid w:val="001F3D65"/>
    <w:rsid w:val="001F3D92"/>
    <w:rsid w:val="001F4410"/>
    <w:rsid w:val="001F4633"/>
    <w:rsid w:val="001F49FC"/>
    <w:rsid w:val="001F4C5B"/>
    <w:rsid w:val="001F5C11"/>
    <w:rsid w:val="001F6076"/>
    <w:rsid w:val="001F6A05"/>
    <w:rsid w:val="001F6E6F"/>
    <w:rsid w:val="00202A71"/>
    <w:rsid w:val="002036E5"/>
    <w:rsid w:val="00204AD1"/>
    <w:rsid w:val="00205901"/>
    <w:rsid w:val="00205937"/>
    <w:rsid w:val="00205CFC"/>
    <w:rsid w:val="00207B03"/>
    <w:rsid w:val="00211A13"/>
    <w:rsid w:val="002124ED"/>
    <w:rsid w:val="002128AB"/>
    <w:rsid w:val="00212D39"/>
    <w:rsid w:val="00213819"/>
    <w:rsid w:val="00213966"/>
    <w:rsid w:val="00215929"/>
    <w:rsid w:val="00216BC2"/>
    <w:rsid w:val="00221CA9"/>
    <w:rsid w:val="00224FA8"/>
    <w:rsid w:val="00225905"/>
    <w:rsid w:val="00225F64"/>
    <w:rsid w:val="0022651A"/>
    <w:rsid w:val="00226532"/>
    <w:rsid w:val="00230AAA"/>
    <w:rsid w:val="00231B1F"/>
    <w:rsid w:val="002331B6"/>
    <w:rsid w:val="00233350"/>
    <w:rsid w:val="00233AA2"/>
    <w:rsid w:val="00233C99"/>
    <w:rsid w:val="002368EC"/>
    <w:rsid w:val="00237B6A"/>
    <w:rsid w:val="002402F7"/>
    <w:rsid w:val="00240853"/>
    <w:rsid w:val="00241530"/>
    <w:rsid w:val="002428B2"/>
    <w:rsid w:val="00243DB5"/>
    <w:rsid w:val="00244494"/>
    <w:rsid w:val="002446D5"/>
    <w:rsid w:val="00245A3A"/>
    <w:rsid w:val="002461CC"/>
    <w:rsid w:val="002473FA"/>
    <w:rsid w:val="00247A47"/>
    <w:rsid w:val="0025038B"/>
    <w:rsid w:val="00251141"/>
    <w:rsid w:val="002518B8"/>
    <w:rsid w:val="00251DB1"/>
    <w:rsid w:val="00252BDA"/>
    <w:rsid w:val="00253565"/>
    <w:rsid w:val="00254435"/>
    <w:rsid w:val="00254572"/>
    <w:rsid w:val="00254C20"/>
    <w:rsid w:val="002550CB"/>
    <w:rsid w:val="002562B7"/>
    <w:rsid w:val="00256349"/>
    <w:rsid w:val="00260881"/>
    <w:rsid w:val="00261689"/>
    <w:rsid w:val="002617B9"/>
    <w:rsid w:val="00261874"/>
    <w:rsid w:val="0026275B"/>
    <w:rsid w:val="002629DC"/>
    <w:rsid w:val="00262AEE"/>
    <w:rsid w:val="00263E2A"/>
    <w:rsid w:val="00263F0D"/>
    <w:rsid w:val="0026481E"/>
    <w:rsid w:val="00264A53"/>
    <w:rsid w:val="00264C62"/>
    <w:rsid w:val="00265915"/>
    <w:rsid w:val="00270AE6"/>
    <w:rsid w:val="00270FA1"/>
    <w:rsid w:val="002712F2"/>
    <w:rsid w:val="00271794"/>
    <w:rsid w:val="002722E0"/>
    <w:rsid w:val="00272670"/>
    <w:rsid w:val="00272753"/>
    <w:rsid w:val="0027337B"/>
    <w:rsid w:val="00273AA3"/>
    <w:rsid w:val="00275012"/>
    <w:rsid w:val="002759AB"/>
    <w:rsid w:val="00277058"/>
    <w:rsid w:val="00280BEA"/>
    <w:rsid w:val="00282FA1"/>
    <w:rsid w:val="0028480D"/>
    <w:rsid w:val="00284821"/>
    <w:rsid w:val="00284D89"/>
    <w:rsid w:val="00285431"/>
    <w:rsid w:val="00285C3F"/>
    <w:rsid w:val="00286ED7"/>
    <w:rsid w:val="002907C2"/>
    <w:rsid w:val="0029122B"/>
    <w:rsid w:val="002925A0"/>
    <w:rsid w:val="00292767"/>
    <w:rsid w:val="00292E71"/>
    <w:rsid w:val="0029415A"/>
    <w:rsid w:val="00294ADD"/>
    <w:rsid w:val="00294B00"/>
    <w:rsid w:val="00295015"/>
    <w:rsid w:val="002953BE"/>
    <w:rsid w:val="002953FE"/>
    <w:rsid w:val="00295CE2"/>
    <w:rsid w:val="002961D5"/>
    <w:rsid w:val="002A16F6"/>
    <w:rsid w:val="002A18C4"/>
    <w:rsid w:val="002A1BC9"/>
    <w:rsid w:val="002A2AE3"/>
    <w:rsid w:val="002A3EA0"/>
    <w:rsid w:val="002A536B"/>
    <w:rsid w:val="002A59D6"/>
    <w:rsid w:val="002A5B23"/>
    <w:rsid w:val="002A6114"/>
    <w:rsid w:val="002A685B"/>
    <w:rsid w:val="002A7826"/>
    <w:rsid w:val="002B03A0"/>
    <w:rsid w:val="002B086A"/>
    <w:rsid w:val="002B0E14"/>
    <w:rsid w:val="002B3164"/>
    <w:rsid w:val="002B34BD"/>
    <w:rsid w:val="002B53BE"/>
    <w:rsid w:val="002B5591"/>
    <w:rsid w:val="002B5B60"/>
    <w:rsid w:val="002B5B6B"/>
    <w:rsid w:val="002B6137"/>
    <w:rsid w:val="002B6655"/>
    <w:rsid w:val="002B7BE6"/>
    <w:rsid w:val="002C0CAF"/>
    <w:rsid w:val="002C1F4D"/>
    <w:rsid w:val="002C21B3"/>
    <w:rsid w:val="002C2573"/>
    <w:rsid w:val="002C2620"/>
    <w:rsid w:val="002C4D98"/>
    <w:rsid w:val="002C72F1"/>
    <w:rsid w:val="002C770D"/>
    <w:rsid w:val="002D05F6"/>
    <w:rsid w:val="002D20DA"/>
    <w:rsid w:val="002D21CE"/>
    <w:rsid w:val="002D23CD"/>
    <w:rsid w:val="002D3175"/>
    <w:rsid w:val="002D3908"/>
    <w:rsid w:val="002D44DB"/>
    <w:rsid w:val="002D4651"/>
    <w:rsid w:val="002D5732"/>
    <w:rsid w:val="002D5CAC"/>
    <w:rsid w:val="002D6674"/>
    <w:rsid w:val="002D6F20"/>
    <w:rsid w:val="002E07B0"/>
    <w:rsid w:val="002E0FE4"/>
    <w:rsid w:val="002E268A"/>
    <w:rsid w:val="002E2DB2"/>
    <w:rsid w:val="002E3601"/>
    <w:rsid w:val="002E7506"/>
    <w:rsid w:val="002E7888"/>
    <w:rsid w:val="002E7914"/>
    <w:rsid w:val="002F0125"/>
    <w:rsid w:val="002F0848"/>
    <w:rsid w:val="002F19FC"/>
    <w:rsid w:val="002F20BC"/>
    <w:rsid w:val="002F2752"/>
    <w:rsid w:val="002F4590"/>
    <w:rsid w:val="002F5059"/>
    <w:rsid w:val="002F5D52"/>
    <w:rsid w:val="002F6C76"/>
    <w:rsid w:val="002F6E6C"/>
    <w:rsid w:val="003028C7"/>
    <w:rsid w:val="003045FF"/>
    <w:rsid w:val="00304C01"/>
    <w:rsid w:val="00305861"/>
    <w:rsid w:val="00305C19"/>
    <w:rsid w:val="00306095"/>
    <w:rsid w:val="00311FC2"/>
    <w:rsid w:val="00312A46"/>
    <w:rsid w:val="00313CC8"/>
    <w:rsid w:val="00315000"/>
    <w:rsid w:val="003164C4"/>
    <w:rsid w:val="003166A9"/>
    <w:rsid w:val="00316F9E"/>
    <w:rsid w:val="003177CF"/>
    <w:rsid w:val="0032069C"/>
    <w:rsid w:val="00323646"/>
    <w:rsid w:val="003254B3"/>
    <w:rsid w:val="00325B18"/>
    <w:rsid w:val="0032678E"/>
    <w:rsid w:val="00326BE5"/>
    <w:rsid w:val="00330D28"/>
    <w:rsid w:val="00331F67"/>
    <w:rsid w:val="00334171"/>
    <w:rsid w:val="00335AFB"/>
    <w:rsid w:val="00336F57"/>
    <w:rsid w:val="0034145C"/>
    <w:rsid w:val="00341618"/>
    <w:rsid w:val="00341EBE"/>
    <w:rsid w:val="0034243A"/>
    <w:rsid w:val="00343937"/>
    <w:rsid w:val="0034445D"/>
    <w:rsid w:val="003447F2"/>
    <w:rsid w:val="00344BA6"/>
    <w:rsid w:val="003453D7"/>
    <w:rsid w:val="00345B94"/>
    <w:rsid w:val="003465CA"/>
    <w:rsid w:val="00350FA7"/>
    <w:rsid w:val="00351B21"/>
    <w:rsid w:val="003523AD"/>
    <w:rsid w:val="00352AAF"/>
    <w:rsid w:val="00352E86"/>
    <w:rsid w:val="003546ED"/>
    <w:rsid w:val="00354F20"/>
    <w:rsid w:val="00354F3A"/>
    <w:rsid w:val="00356BF7"/>
    <w:rsid w:val="003571A1"/>
    <w:rsid w:val="003571C4"/>
    <w:rsid w:val="0035799D"/>
    <w:rsid w:val="0036127E"/>
    <w:rsid w:val="00361CAC"/>
    <w:rsid w:val="0036325F"/>
    <w:rsid w:val="00363CFA"/>
    <w:rsid w:val="00365078"/>
    <w:rsid w:val="0036623E"/>
    <w:rsid w:val="00366B71"/>
    <w:rsid w:val="00366D5E"/>
    <w:rsid w:val="0036753E"/>
    <w:rsid w:val="0037083B"/>
    <w:rsid w:val="00370CE5"/>
    <w:rsid w:val="00372649"/>
    <w:rsid w:val="00373AFE"/>
    <w:rsid w:val="003751F2"/>
    <w:rsid w:val="00375930"/>
    <w:rsid w:val="00376F4E"/>
    <w:rsid w:val="00380DF1"/>
    <w:rsid w:val="003826C8"/>
    <w:rsid w:val="00383C2D"/>
    <w:rsid w:val="003861CA"/>
    <w:rsid w:val="003862FB"/>
    <w:rsid w:val="00391882"/>
    <w:rsid w:val="00393CC9"/>
    <w:rsid w:val="00394F8A"/>
    <w:rsid w:val="00396EB6"/>
    <w:rsid w:val="003972E4"/>
    <w:rsid w:val="003A080A"/>
    <w:rsid w:val="003A2E97"/>
    <w:rsid w:val="003A3E11"/>
    <w:rsid w:val="003A4A8F"/>
    <w:rsid w:val="003A5669"/>
    <w:rsid w:val="003A6774"/>
    <w:rsid w:val="003A7B3B"/>
    <w:rsid w:val="003A7F75"/>
    <w:rsid w:val="003B015B"/>
    <w:rsid w:val="003B0A19"/>
    <w:rsid w:val="003B1167"/>
    <w:rsid w:val="003B1B49"/>
    <w:rsid w:val="003B1C05"/>
    <w:rsid w:val="003B4042"/>
    <w:rsid w:val="003B4288"/>
    <w:rsid w:val="003B4C19"/>
    <w:rsid w:val="003B54CC"/>
    <w:rsid w:val="003C113D"/>
    <w:rsid w:val="003C36E4"/>
    <w:rsid w:val="003C3894"/>
    <w:rsid w:val="003C4B2F"/>
    <w:rsid w:val="003C4DAF"/>
    <w:rsid w:val="003C52A9"/>
    <w:rsid w:val="003C55F5"/>
    <w:rsid w:val="003C582F"/>
    <w:rsid w:val="003C620A"/>
    <w:rsid w:val="003C643F"/>
    <w:rsid w:val="003C691C"/>
    <w:rsid w:val="003D0E23"/>
    <w:rsid w:val="003D2BF4"/>
    <w:rsid w:val="003D40F3"/>
    <w:rsid w:val="003D42A9"/>
    <w:rsid w:val="003D50F3"/>
    <w:rsid w:val="003D5302"/>
    <w:rsid w:val="003D558E"/>
    <w:rsid w:val="003D61F6"/>
    <w:rsid w:val="003D65D0"/>
    <w:rsid w:val="003D6D6A"/>
    <w:rsid w:val="003D7005"/>
    <w:rsid w:val="003D771A"/>
    <w:rsid w:val="003D7FF3"/>
    <w:rsid w:val="003E05D5"/>
    <w:rsid w:val="003E1200"/>
    <w:rsid w:val="003E18B3"/>
    <w:rsid w:val="003E26E4"/>
    <w:rsid w:val="003E3348"/>
    <w:rsid w:val="003E39DC"/>
    <w:rsid w:val="003E4705"/>
    <w:rsid w:val="003E53E1"/>
    <w:rsid w:val="003E58ED"/>
    <w:rsid w:val="003E5C84"/>
    <w:rsid w:val="003E63A7"/>
    <w:rsid w:val="003E71B8"/>
    <w:rsid w:val="003F3FE1"/>
    <w:rsid w:val="003F4165"/>
    <w:rsid w:val="003F5F59"/>
    <w:rsid w:val="004001B8"/>
    <w:rsid w:val="00400D36"/>
    <w:rsid w:val="004013E7"/>
    <w:rsid w:val="00402C4F"/>
    <w:rsid w:val="004039F0"/>
    <w:rsid w:val="00405C1C"/>
    <w:rsid w:val="00405DC6"/>
    <w:rsid w:val="0040651F"/>
    <w:rsid w:val="00407633"/>
    <w:rsid w:val="00411A86"/>
    <w:rsid w:val="00412A7E"/>
    <w:rsid w:val="00412CD7"/>
    <w:rsid w:val="004167C8"/>
    <w:rsid w:val="00420A8A"/>
    <w:rsid w:val="004215B5"/>
    <w:rsid w:val="004219AE"/>
    <w:rsid w:val="0042283F"/>
    <w:rsid w:val="0042403C"/>
    <w:rsid w:val="00424925"/>
    <w:rsid w:val="0042512F"/>
    <w:rsid w:val="0042649E"/>
    <w:rsid w:val="00426C39"/>
    <w:rsid w:val="00427FFD"/>
    <w:rsid w:val="0043148A"/>
    <w:rsid w:val="00431FB2"/>
    <w:rsid w:val="00431FFC"/>
    <w:rsid w:val="0043213A"/>
    <w:rsid w:val="00432337"/>
    <w:rsid w:val="004327FA"/>
    <w:rsid w:val="00432A4F"/>
    <w:rsid w:val="004343C3"/>
    <w:rsid w:val="0043482A"/>
    <w:rsid w:val="00434D85"/>
    <w:rsid w:val="00434DC3"/>
    <w:rsid w:val="00435A1B"/>
    <w:rsid w:val="00435C97"/>
    <w:rsid w:val="00435CF7"/>
    <w:rsid w:val="004365B0"/>
    <w:rsid w:val="0043675E"/>
    <w:rsid w:val="00437BAB"/>
    <w:rsid w:val="00441948"/>
    <w:rsid w:val="00441CDE"/>
    <w:rsid w:val="00442417"/>
    <w:rsid w:val="0044244D"/>
    <w:rsid w:val="004428E7"/>
    <w:rsid w:val="0044383E"/>
    <w:rsid w:val="00443B02"/>
    <w:rsid w:val="00444505"/>
    <w:rsid w:val="004457D9"/>
    <w:rsid w:val="00445C9B"/>
    <w:rsid w:val="0044671D"/>
    <w:rsid w:val="0044767D"/>
    <w:rsid w:val="00447A52"/>
    <w:rsid w:val="00451423"/>
    <w:rsid w:val="004520BA"/>
    <w:rsid w:val="00452824"/>
    <w:rsid w:val="00453BF3"/>
    <w:rsid w:val="004548E9"/>
    <w:rsid w:val="00455114"/>
    <w:rsid w:val="0045689D"/>
    <w:rsid w:val="00460617"/>
    <w:rsid w:val="00460BDB"/>
    <w:rsid w:val="00461092"/>
    <w:rsid w:val="004613FE"/>
    <w:rsid w:val="004627D4"/>
    <w:rsid w:val="00464E6E"/>
    <w:rsid w:val="0046554B"/>
    <w:rsid w:val="004668A7"/>
    <w:rsid w:val="004672E0"/>
    <w:rsid w:val="00467DA7"/>
    <w:rsid w:val="0047070B"/>
    <w:rsid w:val="00470BAE"/>
    <w:rsid w:val="00471C6C"/>
    <w:rsid w:val="004727F8"/>
    <w:rsid w:val="00473B5A"/>
    <w:rsid w:val="00474E5B"/>
    <w:rsid w:val="00476416"/>
    <w:rsid w:val="004805BE"/>
    <w:rsid w:val="00480C2E"/>
    <w:rsid w:val="00480DBF"/>
    <w:rsid w:val="00481EFB"/>
    <w:rsid w:val="004829DF"/>
    <w:rsid w:val="00482E92"/>
    <w:rsid w:val="004832E4"/>
    <w:rsid w:val="0048450F"/>
    <w:rsid w:val="004847F6"/>
    <w:rsid w:val="00487220"/>
    <w:rsid w:val="00487EEA"/>
    <w:rsid w:val="00490B90"/>
    <w:rsid w:val="004926FF"/>
    <w:rsid w:val="004943A4"/>
    <w:rsid w:val="004946E0"/>
    <w:rsid w:val="00496246"/>
    <w:rsid w:val="00496739"/>
    <w:rsid w:val="004972E2"/>
    <w:rsid w:val="0049745F"/>
    <w:rsid w:val="004A18F8"/>
    <w:rsid w:val="004A1E55"/>
    <w:rsid w:val="004A2037"/>
    <w:rsid w:val="004A2751"/>
    <w:rsid w:val="004A6363"/>
    <w:rsid w:val="004A717E"/>
    <w:rsid w:val="004A769C"/>
    <w:rsid w:val="004A7B7E"/>
    <w:rsid w:val="004B0EE0"/>
    <w:rsid w:val="004B2B45"/>
    <w:rsid w:val="004B2D23"/>
    <w:rsid w:val="004B2E90"/>
    <w:rsid w:val="004B35CE"/>
    <w:rsid w:val="004B5666"/>
    <w:rsid w:val="004B58D3"/>
    <w:rsid w:val="004B5D72"/>
    <w:rsid w:val="004B61EF"/>
    <w:rsid w:val="004B7F3F"/>
    <w:rsid w:val="004C026D"/>
    <w:rsid w:val="004C05B5"/>
    <w:rsid w:val="004C1BDA"/>
    <w:rsid w:val="004C3F44"/>
    <w:rsid w:val="004C4DBD"/>
    <w:rsid w:val="004C4DDD"/>
    <w:rsid w:val="004C4F44"/>
    <w:rsid w:val="004C62F1"/>
    <w:rsid w:val="004C6789"/>
    <w:rsid w:val="004C7248"/>
    <w:rsid w:val="004D1425"/>
    <w:rsid w:val="004D2CED"/>
    <w:rsid w:val="004D3047"/>
    <w:rsid w:val="004D406B"/>
    <w:rsid w:val="004D4588"/>
    <w:rsid w:val="004D58CF"/>
    <w:rsid w:val="004E322C"/>
    <w:rsid w:val="004E3817"/>
    <w:rsid w:val="004E43CB"/>
    <w:rsid w:val="004E47D9"/>
    <w:rsid w:val="004E52BF"/>
    <w:rsid w:val="004E78DC"/>
    <w:rsid w:val="004F6E5D"/>
    <w:rsid w:val="0050009A"/>
    <w:rsid w:val="00500ED2"/>
    <w:rsid w:val="00500F23"/>
    <w:rsid w:val="0050383C"/>
    <w:rsid w:val="00503ADC"/>
    <w:rsid w:val="00503CCC"/>
    <w:rsid w:val="00504101"/>
    <w:rsid w:val="0050738B"/>
    <w:rsid w:val="0051055D"/>
    <w:rsid w:val="00512AE9"/>
    <w:rsid w:val="00513F63"/>
    <w:rsid w:val="005140D3"/>
    <w:rsid w:val="0051534C"/>
    <w:rsid w:val="0051581D"/>
    <w:rsid w:val="005167D0"/>
    <w:rsid w:val="00520106"/>
    <w:rsid w:val="0052086E"/>
    <w:rsid w:val="00522546"/>
    <w:rsid w:val="00522B88"/>
    <w:rsid w:val="00523871"/>
    <w:rsid w:val="00523DB3"/>
    <w:rsid w:val="005273E9"/>
    <w:rsid w:val="0053006F"/>
    <w:rsid w:val="00530719"/>
    <w:rsid w:val="00533263"/>
    <w:rsid w:val="00536B97"/>
    <w:rsid w:val="00537435"/>
    <w:rsid w:val="005405E5"/>
    <w:rsid w:val="00543CFD"/>
    <w:rsid w:val="00543E69"/>
    <w:rsid w:val="00543FB4"/>
    <w:rsid w:val="00544916"/>
    <w:rsid w:val="00545671"/>
    <w:rsid w:val="00545909"/>
    <w:rsid w:val="00545D21"/>
    <w:rsid w:val="00550FD9"/>
    <w:rsid w:val="005510ED"/>
    <w:rsid w:val="0055164E"/>
    <w:rsid w:val="00552F15"/>
    <w:rsid w:val="00553414"/>
    <w:rsid w:val="005535EE"/>
    <w:rsid w:val="00553CBF"/>
    <w:rsid w:val="00554B13"/>
    <w:rsid w:val="00555AA9"/>
    <w:rsid w:val="005571CA"/>
    <w:rsid w:val="00560501"/>
    <w:rsid w:val="00561AFB"/>
    <w:rsid w:val="00561C0D"/>
    <w:rsid w:val="005642D8"/>
    <w:rsid w:val="0056436E"/>
    <w:rsid w:val="005643D0"/>
    <w:rsid w:val="005650EC"/>
    <w:rsid w:val="005659E1"/>
    <w:rsid w:val="00565D7B"/>
    <w:rsid w:val="0056647A"/>
    <w:rsid w:val="00566876"/>
    <w:rsid w:val="00566BA8"/>
    <w:rsid w:val="00567D20"/>
    <w:rsid w:val="005700A3"/>
    <w:rsid w:val="005707ED"/>
    <w:rsid w:val="00571181"/>
    <w:rsid w:val="005713D6"/>
    <w:rsid w:val="00571FBC"/>
    <w:rsid w:val="00572E71"/>
    <w:rsid w:val="00573253"/>
    <w:rsid w:val="00575DD4"/>
    <w:rsid w:val="005768E8"/>
    <w:rsid w:val="00582B6B"/>
    <w:rsid w:val="00582EBA"/>
    <w:rsid w:val="00583013"/>
    <w:rsid w:val="005843F3"/>
    <w:rsid w:val="00584912"/>
    <w:rsid w:val="0058502C"/>
    <w:rsid w:val="00585D49"/>
    <w:rsid w:val="00586238"/>
    <w:rsid w:val="00586467"/>
    <w:rsid w:val="00586F3E"/>
    <w:rsid w:val="0058716E"/>
    <w:rsid w:val="00587684"/>
    <w:rsid w:val="00590473"/>
    <w:rsid w:val="005904F8"/>
    <w:rsid w:val="005909FA"/>
    <w:rsid w:val="005923B4"/>
    <w:rsid w:val="00593313"/>
    <w:rsid w:val="00595117"/>
    <w:rsid w:val="00596ABC"/>
    <w:rsid w:val="00596CE3"/>
    <w:rsid w:val="00597B35"/>
    <w:rsid w:val="005A08C8"/>
    <w:rsid w:val="005A0E53"/>
    <w:rsid w:val="005A25D2"/>
    <w:rsid w:val="005A28E5"/>
    <w:rsid w:val="005A28FB"/>
    <w:rsid w:val="005A3791"/>
    <w:rsid w:val="005A37AF"/>
    <w:rsid w:val="005A4940"/>
    <w:rsid w:val="005A67D6"/>
    <w:rsid w:val="005A6A1E"/>
    <w:rsid w:val="005A6BD7"/>
    <w:rsid w:val="005A7FBF"/>
    <w:rsid w:val="005B1A1B"/>
    <w:rsid w:val="005B1B74"/>
    <w:rsid w:val="005B2F71"/>
    <w:rsid w:val="005B3131"/>
    <w:rsid w:val="005B39EE"/>
    <w:rsid w:val="005B3C44"/>
    <w:rsid w:val="005B414E"/>
    <w:rsid w:val="005B55F0"/>
    <w:rsid w:val="005B7484"/>
    <w:rsid w:val="005B794F"/>
    <w:rsid w:val="005C19C6"/>
    <w:rsid w:val="005C1F31"/>
    <w:rsid w:val="005C2480"/>
    <w:rsid w:val="005C2660"/>
    <w:rsid w:val="005C32BB"/>
    <w:rsid w:val="005C5356"/>
    <w:rsid w:val="005C538C"/>
    <w:rsid w:val="005D079D"/>
    <w:rsid w:val="005D0CDF"/>
    <w:rsid w:val="005D1454"/>
    <w:rsid w:val="005D1C02"/>
    <w:rsid w:val="005D206D"/>
    <w:rsid w:val="005D2249"/>
    <w:rsid w:val="005D2BFA"/>
    <w:rsid w:val="005D3772"/>
    <w:rsid w:val="005D3D1E"/>
    <w:rsid w:val="005D470B"/>
    <w:rsid w:val="005D4CC3"/>
    <w:rsid w:val="005D5E34"/>
    <w:rsid w:val="005E05B5"/>
    <w:rsid w:val="005E0C02"/>
    <w:rsid w:val="005E12C8"/>
    <w:rsid w:val="005E14FB"/>
    <w:rsid w:val="005E180D"/>
    <w:rsid w:val="005E2A8C"/>
    <w:rsid w:val="005E4BC3"/>
    <w:rsid w:val="005E5126"/>
    <w:rsid w:val="005E6725"/>
    <w:rsid w:val="005F05CB"/>
    <w:rsid w:val="005F3111"/>
    <w:rsid w:val="005F39B3"/>
    <w:rsid w:val="005F409A"/>
    <w:rsid w:val="005F5735"/>
    <w:rsid w:val="005F672E"/>
    <w:rsid w:val="005F70CF"/>
    <w:rsid w:val="005F726A"/>
    <w:rsid w:val="005F7AF2"/>
    <w:rsid w:val="00601967"/>
    <w:rsid w:val="00601B6E"/>
    <w:rsid w:val="006042B9"/>
    <w:rsid w:val="006107BB"/>
    <w:rsid w:val="00611011"/>
    <w:rsid w:val="00611BAE"/>
    <w:rsid w:val="00611D80"/>
    <w:rsid w:val="006122F4"/>
    <w:rsid w:val="0061304E"/>
    <w:rsid w:val="00613111"/>
    <w:rsid w:val="00614FFF"/>
    <w:rsid w:val="006154CD"/>
    <w:rsid w:val="0061566D"/>
    <w:rsid w:val="006167C2"/>
    <w:rsid w:val="00616E1A"/>
    <w:rsid w:val="0061712C"/>
    <w:rsid w:val="006171D9"/>
    <w:rsid w:val="00617AE1"/>
    <w:rsid w:val="00620638"/>
    <w:rsid w:val="0062083C"/>
    <w:rsid w:val="00620F11"/>
    <w:rsid w:val="00621004"/>
    <w:rsid w:val="00621EA1"/>
    <w:rsid w:val="00622FCF"/>
    <w:rsid w:val="006239F2"/>
    <w:rsid w:val="0062447C"/>
    <w:rsid w:val="00626200"/>
    <w:rsid w:val="0063047C"/>
    <w:rsid w:val="0063060D"/>
    <w:rsid w:val="00631D0C"/>
    <w:rsid w:val="00631E94"/>
    <w:rsid w:val="00632A4C"/>
    <w:rsid w:val="006337AD"/>
    <w:rsid w:val="006339AF"/>
    <w:rsid w:val="00633DAA"/>
    <w:rsid w:val="00634DA4"/>
    <w:rsid w:val="00634F6A"/>
    <w:rsid w:val="00635766"/>
    <w:rsid w:val="0063615A"/>
    <w:rsid w:val="006369F2"/>
    <w:rsid w:val="00636F21"/>
    <w:rsid w:val="006372FC"/>
    <w:rsid w:val="0063786E"/>
    <w:rsid w:val="00637DAA"/>
    <w:rsid w:val="00640043"/>
    <w:rsid w:val="00642858"/>
    <w:rsid w:val="00642B63"/>
    <w:rsid w:val="006431AC"/>
    <w:rsid w:val="00645480"/>
    <w:rsid w:val="006479C7"/>
    <w:rsid w:val="0065035A"/>
    <w:rsid w:val="006511AF"/>
    <w:rsid w:val="00651F63"/>
    <w:rsid w:val="0065286C"/>
    <w:rsid w:val="00652A31"/>
    <w:rsid w:val="0065446A"/>
    <w:rsid w:val="00654D34"/>
    <w:rsid w:val="006574F6"/>
    <w:rsid w:val="00657653"/>
    <w:rsid w:val="006603F8"/>
    <w:rsid w:val="00660AEC"/>
    <w:rsid w:val="006610A1"/>
    <w:rsid w:val="00661249"/>
    <w:rsid w:val="00661B2E"/>
    <w:rsid w:val="00661F8A"/>
    <w:rsid w:val="00662041"/>
    <w:rsid w:val="00662751"/>
    <w:rsid w:val="00664778"/>
    <w:rsid w:val="0066576D"/>
    <w:rsid w:val="0066596F"/>
    <w:rsid w:val="00667B84"/>
    <w:rsid w:val="00670028"/>
    <w:rsid w:val="00670168"/>
    <w:rsid w:val="0067022F"/>
    <w:rsid w:val="006704BB"/>
    <w:rsid w:val="006705AE"/>
    <w:rsid w:val="00671584"/>
    <w:rsid w:val="00671666"/>
    <w:rsid w:val="00673C8B"/>
    <w:rsid w:val="0067535D"/>
    <w:rsid w:val="00675D7E"/>
    <w:rsid w:val="00675E82"/>
    <w:rsid w:val="00680F8D"/>
    <w:rsid w:val="00681995"/>
    <w:rsid w:val="006830C2"/>
    <w:rsid w:val="00683A4B"/>
    <w:rsid w:val="00686F18"/>
    <w:rsid w:val="00692A3E"/>
    <w:rsid w:val="00694F07"/>
    <w:rsid w:val="00695834"/>
    <w:rsid w:val="006963B7"/>
    <w:rsid w:val="00696526"/>
    <w:rsid w:val="006966D8"/>
    <w:rsid w:val="00697744"/>
    <w:rsid w:val="006978C0"/>
    <w:rsid w:val="00697D8D"/>
    <w:rsid w:val="006A0B18"/>
    <w:rsid w:val="006A129E"/>
    <w:rsid w:val="006A2655"/>
    <w:rsid w:val="006A359B"/>
    <w:rsid w:val="006A4F4E"/>
    <w:rsid w:val="006A52D3"/>
    <w:rsid w:val="006A6EA4"/>
    <w:rsid w:val="006B0043"/>
    <w:rsid w:val="006B0554"/>
    <w:rsid w:val="006B10B1"/>
    <w:rsid w:val="006B164C"/>
    <w:rsid w:val="006B1B59"/>
    <w:rsid w:val="006B2750"/>
    <w:rsid w:val="006B4259"/>
    <w:rsid w:val="006C048E"/>
    <w:rsid w:val="006C0688"/>
    <w:rsid w:val="006C07E6"/>
    <w:rsid w:val="006C1DAC"/>
    <w:rsid w:val="006C2251"/>
    <w:rsid w:val="006C3172"/>
    <w:rsid w:val="006C3530"/>
    <w:rsid w:val="006C4649"/>
    <w:rsid w:val="006C5010"/>
    <w:rsid w:val="006C5944"/>
    <w:rsid w:val="006C5EBD"/>
    <w:rsid w:val="006C6145"/>
    <w:rsid w:val="006C69AA"/>
    <w:rsid w:val="006C7252"/>
    <w:rsid w:val="006C7419"/>
    <w:rsid w:val="006C78DC"/>
    <w:rsid w:val="006D0E44"/>
    <w:rsid w:val="006D1147"/>
    <w:rsid w:val="006D2159"/>
    <w:rsid w:val="006D3AB8"/>
    <w:rsid w:val="006D4EB8"/>
    <w:rsid w:val="006D5213"/>
    <w:rsid w:val="006D6917"/>
    <w:rsid w:val="006D7023"/>
    <w:rsid w:val="006D77F9"/>
    <w:rsid w:val="006E1B43"/>
    <w:rsid w:val="006E216F"/>
    <w:rsid w:val="006E63A2"/>
    <w:rsid w:val="006F126F"/>
    <w:rsid w:val="006F1376"/>
    <w:rsid w:val="006F1387"/>
    <w:rsid w:val="006F1C50"/>
    <w:rsid w:val="006F378B"/>
    <w:rsid w:val="006F722D"/>
    <w:rsid w:val="006F748D"/>
    <w:rsid w:val="007002F9"/>
    <w:rsid w:val="00702BF1"/>
    <w:rsid w:val="00702E4B"/>
    <w:rsid w:val="00703D7D"/>
    <w:rsid w:val="00703EBE"/>
    <w:rsid w:val="00705023"/>
    <w:rsid w:val="00706013"/>
    <w:rsid w:val="007068F1"/>
    <w:rsid w:val="00707DC2"/>
    <w:rsid w:val="00711528"/>
    <w:rsid w:val="00712F21"/>
    <w:rsid w:val="00713635"/>
    <w:rsid w:val="0071449A"/>
    <w:rsid w:val="00714747"/>
    <w:rsid w:val="00714D90"/>
    <w:rsid w:val="0071689C"/>
    <w:rsid w:val="00716FBE"/>
    <w:rsid w:val="00720351"/>
    <w:rsid w:val="007221AE"/>
    <w:rsid w:val="00724417"/>
    <w:rsid w:val="00724DC7"/>
    <w:rsid w:val="007259C8"/>
    <w:rsid w:val="0072699D"/>
    <w:rsid w:val="00727D19"/>
    <w:rsid w:val="007311DB"/>
    <w:rsid w:val="0073189F"/>
    <w:rsid w:val="00732EFA"/>
    <w:rsid w:val="007343D7"/>
    <w:rsid w:val="0073508D"/>
    <w:rsid w:val="0073731D"/>
    <w:rsid w:val="00737DD4"/>
    <w:rsid w:val="007406F3"/>
    <w:rsid w:val="00740D46"/>
    <w:rsid w:val="00740EDF"/>
    <w:rsid w:val="00741836"/>
    <w:rsid w:val="0074217C"/>
    <w:rsid w:val="007430E5"/>
    <w:rsid w:val="0074492D"/>
    <w:rsid w:val="00744EF8"/>
    <w:rsid w:val="00745E79"/>
    <w:rsid w:val="007467C7"/>
    <w:rsid w:val="007470F2"/>
    <w:rsid w:val="0075069F"/>
    <w:rsid w:val="0075161F"/>
    <w:rsid w:val="00751EF5"/>
    <w:rsid w:val="007532A5"/>
    <w:rsid w:val="007540D7"/>
    <w:rsid w:val="00754203"/>
    <w:rsid w:val="00755A1B"/>
    <w:rsid w:val="007571BD"/>
    <w:rsid w:val="0075762B"/>
    <w:rsid w:val="00761296"/>
    <w:rsid w:val="00762442"/>
    <w:rsid w:val="00762BF1"/>
    <w:rsid w:val="00762CD8"/>
    <w:rsid w:val="007632BC"/>
    <w:rsid w:val="0076378D"/>
    <w:rsid w:val="00763ABB"/>
    <w:rsid w:val="00764415"/>
    <w:rsid w:val="007646B4"/>
    <w:rsid w:val="00770427"/>
    <w:rsid w:val="007705A6"/>
    <w:rsid w:val="00770EBB"/>
    <w:rsid w:val="00770F46"/>
    <w:rsid w:val="0077101B"/>
    <w:rsid w:val="00773836"/>
    <w:rsid w:val="00773A58"/>
    <w:rsid w:val="00773AB7"/>
    <w:rsid w:val="00773C86"/>
    <w:rsid w:val="0077410E"/>
    <w:rsid w:val="00774470"/>
    <w:rsid w:val="00777549"/>
    <w:rsid w:val="00777683"/>
    <w:rsid w:val="007801A2"/>
    <w:rsid w:val="00781ACA"/>
    <w:rsid w:val="00781C2E"/>
    <w:rsid w:val="00783E94"/>
    <w:rsid w:val="007841CF"/>
    <w:rsid w:val="00787AF6"/>
    <w:rsid w:val="00787FEF"/>
    <w:rsid w:val="00792998"/>
    <w:rsid w:val="00793A6D"/>
    <w:rsid w:val="00795181"/>
    <w:rsid w:val="0079548C"/>
    <w:rsid w:val="00795D65"/>
    <w:rsid w:val="00796B83"/>
    <w:rsid w:val="00796BC4"/>
    <w:rsid w:val="007A082C"/>
    <w:rsid w:val="007A1B64"/>
    <w:rsid w:val="007A2671"/>
    <w:rsid w:val="007A287C"/>
    <w:rsid w:val="007A2B18"/>
    <w:rsid w:val="007A3328"/>
    <w:rsid w:val="007A3AB5"/>
    <w:rsid w:val="007A3B97"/>
    <w:rsid w:val="007A521B"/>
    <w:rsid w:val="007A607E"/>
    <w:rsid w:val="007B07EE"/>
    <w:rsid w:val="007B120D"/>
    <w:rsid w:val="007B14F3"/>
    <w:rsid w:val="007B1ACB"/>
    <w:rsid w:val="007B30E6"/>
    <w:rsid w:val="007B50E3"/>
    <w:rsid w:val="007B60DB"/>
    <w:rsid w:val="007C0B1E"/>
    <w:rsid w:val="007C1265"/>
    <w:rsid w:val="007C16E8"/>
    <w:rsid w:val="007C295A"/>
    <w:rsid w:val="007C2C55"/>
    <w:rsid w:val="007C2F17"/>
    <w:rsid w:val="007C413F"/>
    <w:rsid w:val="007C4B45"/>
    <w:rsid w:val="007C5151"/>
    <w:rsid w:val="007C550D"/>
    <w:rsid w:val="007C7623"/>
    <w:rsid w:val="007C7C10"/>
    <w:rsid w:val="007D0A1D"/>
    <w:rsid w:val="007D1298"/>
    <w:rsid w:val="007D130A"/>
    <w:rsid w:val="007D313D"/>
    <w:rsid w:val="007D314B"/>
    <w:rsid w:val="007D5E66"/>
    <w:rsid w:val="007D7760"/>
    <w:rsid w:val="007E282B"/>
    <w:rsid w:val="007E3CE2"/>
    <w:rsid w:val="007E413D"/>
    <w:rsid w:val="007E4776"/>
    <w:rsid w:val="007E4FC4"/>
    <w:rsid w:val="007E519B"/>
    <w:rsid w:val="007E5E79"/>
    <w:rsid w:val="007E6830"/>
    <w:rsid w:val="007E6ADB"/>
    <w:rsid w:val="007E6B2D"/>
    <w:rsid w:val="007F0239"/>
    <w:rsid w:val="007F05CC"/>
    <w:rsid w:val="007F0D8D"/>
    <w:rsid w:val="007F1B79"/>
    <w:rsid w:val="007F1CFB"/>
    <w:rsid w:val="007F1D56"/>
    <w:rsid w:val="007F29CD"/>
    <w:rsid w:val="007F2D5E"/>
    <w:rsid w:val="007F30FD"/>
    <w:rsid w:val="007F3404"/>
    <w:rsid w:val="007F44BA"/>
    <w:rsid w:val="007F4C2D"/>
    <w:rsid w:val="007F656C"/>
    <w:rsid w:val="007F6947"/>
    <w:rsid w:val="007F7449"/>
    <w:rsid w:val="007F7F47"/>
    <w:rsid w:val="00800699"/>
    <w:rsid w:val="00802010"/>
    <w:rsid w:val="0080452A"/>
    <w:rsid w:val="00805FE1"/>
    <w:rsid w:val="00807D32"/>
    <w:rsid w:val="00810799"/>
    <w:rsid w:val="00810E41"/>
    <w:rsid w:val="00811E1A"/>
    <w:rsid w:val="008122D1"/>
    <w:rsid w:val="008130CE"/>
    <w:rsid w:val="00813740"/>
    <w:rsid w:val="00813B8D"/>
    <w:rsid w:val="008159F8"/>
    <w:rsid w:val="00815A6F"/>
    <w:rsid w:val="00816C61"/>
    <w:rsid w:val="00816CB4"/>
    <w:rsid w:val="008201AB"/>
    <w:rsid w:val="00821B52"/>
    <w:rsid w:val="00821D51"/>
    <w:rsid w:val="008224A2"/>
    <w:rsid w:val="00824B8A"/>
    <w:rsid w:val="00826115"/>
    <w:rsid w:val="00826E90"/>
    <w:rsid w:val="00830ACE"/>
    <w:rsid w:val="00830E89"/>
    <w:rsid w:val="00832CAC"/>
    <w:rsid w:val="0083563B"/>
    <w:rsid w:val="0083572C"/>
    <w:rsid w:val="00836ADF"/>
    <w:rsid w:val="0083797A"/>
    <w:rsid w:val="008400DD"/>
    <w:rsid w:val="0084208F"/>
    <w:rsid w:val="008426AC"/>
    <w:rsid w:val="00842E21"/>
    <w:rsid w:val="00843483"/>
    <w:rsid w:val="0084418C"/>
    <w:rsid w:val="00844CC0"/>
    <w:rsid w:val="008454C0"/>
    <w:rsid w:val="0084556B"/>
    <w:rsid w:val="008457D1"/>
    <w:rsid w:val="00845DE2"/>
    <w:rsid w:val="0084626B"/>
    <w:rsid w:val="008462D1"/>
    <w:rsid w:val="008503A0"/>
    <w:rsid w:val="00851B6E"/>
    <w:rsid w:val="00852B09"/>
    <w:rsid w:val="00852B1F"/>
    <w:rsid w:val="00852B99"/>
    <w:rsid w:val="00852C6A"/>
    <w:rsid w:val="00852D61"/>
    <w:rsid w:val="00853273"/>
    <w:rsid w:val="00853505"/>
    <w:rsid w:val="00854280"/>
    <w:rsid w:val="00854D74"/>
    <w:rsid w:val="00855448"/>
    <w:rsid w:val="008601DA"/>
    <w:rsid w:val="00860BFE"/>
    <w:rsid w:val="00861927"/>
    <w:rsid w:val="00862082"/>
    <w:rsid w:val="00862414"/>
    <w:rsid w:val="00862AC3"/>
    <w:rsid w:val="00864816"/>
    <w:rsid w:val="008650EA"/>
    <w:rsid w:val="008664E5"/>
    <w:rsid w:val="00866D4D"/>
    <w:rsid w:val="00867419"/>
    <w:rsid w:val="00871E63"/>
    <w:rsid w:val="00872BC0"/>
    <w:rsid w:val="00872C4B"/>
    <w:rsid w:val="00873A09"/>
    <w:rsid w:val="00875621"/>
    <w:rsid w:val="00875A30"/>
    <w:rsid w:val="00880D4D"/>
    <w:rsid w:val="0088164D"/>
    <w:rsid w:val="00881674"/>
    <w:rsid w:val="00881B54"/>
    <w:rsid w:val="00883408"/>
    <w:rsid w:val="00883EA5"/>
    <w:rsid w:val="00885180"/>
    <w:rsid w:val="008857BA"/>
    <w:rsid w:val="00885C5C"/>
    <w:rsid w:val="00886814"/>
    <w:rsid w:val="00887376"/>
    <w:rsid w:val="0089202F"/>
    <w:rsid w:val="00892CDC"/>
    <w:rsid w:val="00893705"/>
    <w:rsid w:val="00894507"/>
    <w:rsid w:val="00896E00"/>
    <w:rsid w:val="008971F3"/>
    <w:rsid w:val="008973C3"/>
    <w:rsid w:val="008973C8"/>
    <w:rsid w:val="008A0DC3"/>
    <w:rsid w:val="008A117C"/>
    <w:rsid w:val="008A17C9"/>
    <w:rsid w:val="008A2C30"/>
    <w:rsid w:val="008A2D8B"/>
    <w:rsid w:val="008A3AC0"/>
    <w:rsid w:val="008A42A3"/>
    <w:rsid w:val="008A4534"/>
    <w:rsid w:val="008A6CC0"/>
    <w:rsid w:val="008A7EEB"/>
    <w:rsid w:val="008B09FC"/>
    <w:rsid w:val="008B1E87"/>
    <w:rsid w:val="008B2162"/>
    <w:rsid w:val="008B222E"/>
    <w:rsid w:val="008B438E"/>
    <w:rsid w:val="008B4616"/>
    <w:rsid w:val="008B5464"/>
    <w:rsid w:val="008B57BF"/>
    <w:rsid w:val="008B645C"/>
    <w:rsid w:val="008B6718"/>
    <w:rsid w:val="008C0005"/>
    <w:rsid w:val="008C0C7F"/>
    <w:rsid w:val="008C0D7B"/>
    <w:rsid w:val="008C18FD"/>
    <w:rsid w:val="008C2599"/>
    <w:rsid w:val="008C26B7"/>
    <w:rsid w:val="008C3BE3"/>
    <w:rsid w:val="008C3D96"/>
    <w:rsid w:val="008C4070"/>
    <w:rsid w:val="008C40F0"/>
    <w:rsid w:val="008C514D"/>
    <w:rsid w:val="008C52F3"/>
    <w:rsid w:val="008C554C"/>
    <w:rsid w:val="008C5A71"/>
    <w:rsid w:val="008C5B82"/>
    <w:rsid w:val="008C7368"/>
    <w:rsid w:val="008D368E"/>
    <w:rsid w:val="008D46E8"/>
    <w:rsid w:val="008D4C8F"/>
    <w:rsid w:val="008D7316"/>
    <w:rsid w:val="008D7413"/>
    <w:rsid w:val="008E190F"/>
    <w:rsid w:val="008E25E8"/>
    <w:rsid w:val="008E268B"/>
    <w:rsid w:val="008E31C4"/>
    <w:rsid w:val="008E3708"/>
    <w:rsid w:val="008E5270"/>
    <w:rsid w:val="008E6050"/>
    <w:rsid w:val="008E6520"/>
    <w:rsid w:val="008E67A3"/>
    <w:rsid w:val="008F2435"/>
    <w:rsid w:val="008F2C91"/>
    <w:rsid w:val="008F3156"/>
    <w:rsid w:val="008F3E51"/>
    <w:rsid w:val="008F41ED"/>
    <w:rsid w:val="008F4BC8"/>
    <w:rsid w:val="008F5CC0"/>
    <w:rsid w:val="008F7632"/>
    <w:rsid w:val="008F7B69"/>
    <w:rsid w:val="00900B62"/>
    <w:rsid w:val="00902C75"/>
    <w:rsid w:val="009038CF"/>
    <w:rsid w:val="00904721"/>
    <w:rsid w:val="0090479C"/>
    <w:rsid w:val="00905F1B"/>
    <w:rsid w:val="00907DCD"/>
    <w:rsid w:val="009103F2"/>
    <w:rsid w:val="009105DE"/>
    <w:rsid w:val="00913270"/>
    <w:rsid w:val="00913D90"/>
    <w:rsid w:val="00914B65"/>
    <w:rsid w:val="00916049"/>
    <w:rsid w:val="00916FBE"/>
    <w:rsid w:val="00917442"/>
    <w:rsid w:val="0092015B"/>
    <w:rsid w:val="00921907"/>
    <w:rsid w:val="00921CAF"/>
    <w:rsid w:val="00923E94"/>
    <w:rsid w:val="0092558C"/>
    <w:rsid w:val="0092778F"/>
    <w:rsid w:val="00927A01"/>
    <w:rsid w:val="00930477"/>
    <w:rsid w:val="009315C1"/>
    <w:rsid w:val="00933B08"/>
    <w:rsid w:val="00936005"/>
    <w:rsid w:val="00936A3B"/>
    <w:rsid w:val="00941030"/>
    <w:rsid w:val="009410A3"/>
    <w:rsid w:val="00941739"/>
    <w:rsid w:val="00942A38"/>
    <w:rsid w:val="009431EB"/>
    <w:rsid w:val="00943812"/>
    <w:rsid w:val="009475EC"/>
    <w:rsid w:val="00947DF9"/>
    <w:rsid w:val="00952259"/>
    <w:rsid w:val="00952537"/>
    <w:rsid w:val="0095356F"/>
    <w:rsid w:val="00955586"/>
    <w:rsid w:val="00956145"/>
    <w:rsid w:val="00956DA1"/>
    <w:rsid w:val="00957584"/>
    <w:rsid w:val="009604B9"/>
    <w:rsid w:val="009615EA"/>
    <w:rsid w:val="00961731"/>
    <w:rsid w:val="00962D3A"/>
    <w:rsid w:val="0096466C"/>
    <w:rsid w:val="00964673"/>
    <w:rsid w:val="00964E08"/>
    <w:rsid w:val="00965E8E"/>
    <w:rsid w:val="00965F29"/>
    <w:rsid w:val="00966C9C"/>
    <w:rsid w:val="00973456"/>
    <w:rsid w:val="0097382C"/>
    <w:rsid w:val="0097536C"/>
    <w:rsid w:val="00977659"/>
    <w:rsid w:val="00980ABE"/>
    <w:rsid w:val="00981C6C"/>
    <w:rsid w:val="009825B7"/>
    <w:rsid w:val="00982890"/>
    <w:rsid w:val="00983B5D"/>
    <w:rsid w:val="009843A5"/>
    <w:rsid w:val="00984905"/>
    <w:rsid w:val="00985C1B"/>
    <w:rsid w:val="00986480"/>
    <w:rsid w:val="00986AB2"/>
    <w:rsid w:val="0098796A"/>
    <w:rsid w:val="0099051F"/>
    <w:rsid w:val="00990DC3"/>
    <w:rsid w:val="0099191D"/>
    <w:rsid w:val="00991D5C"/>
    <w:rsid w:val="0099267E"/>
    <w:rsid w:val="00993801"/>
    <w:rsid w:val="0099559A"/>
    <w:rsid w:val="009958CD"/>
    <w:rsid w:val="00995DE4"/>
    <w:rsid w:val="00996833"/>
    <w:rsid w:val="00996B71"/>
    <w:rsid w:val="00996BA4"/>
    <w:rsid w:val="00997CC2"/>
    <w:rsid w:val="00997F1A"/>
    <w:rsid w:val="009A507D"/>
    <w:rsid w:val="009A5254"/>
    <w:rsid w:val="009A52AD"/>
    <w:rsid w:val="009A5CD6"/>
    <w:rsid w:val="009A65BE"/>
    <w:rsid w:val="009A6970"/>
    <w:rsid w:val="009A70AC"/>
    <w:rsid w:val="009A770A"/>
    <w:rsid w:val="009A79E5"/>
    <w:rsid w:val="009B48CA"/>
    <w:rsid w:val="009B5F51"/>
    <w:rsid w:val="009B609D"/>
    <w:rsid w:val="009B62E7"/>
    <w:rsid w:val="009B63D2"/>
    <w:rsid w:val="009C01BE"/>
    <w:rsid w:val="009C16E2"/>
    <w:rsid w:val="009C2473"/>
    <w:rsid w:val="009C26EE"/>
    <w:rsid w:val="009C2CF2"/>
    <w:rsid w:val="009C2CF8"/>
    <w:rsid w:val="009C5222"/>
    <w:rsid w:val="009C59F3"/>
    <w:rsid w:val="009C5A30"/>
    <w:rsid w:val="009C61AD"/>
    <w:rsid w:val="009C7D7E"/>
    <w:rsid w:val="009D1B50"/>
    <w:rsid w:val="009D204A"/>
    <w:rsid w:val="009D318C"/>
    <w:rsid w:val="009D387D"/>
    <w:rsid w:val="009D3D4D"/>
    <w:rsid w:val="009D5DF1"/>
    <w:rsid w:val="009D65CB"/>
    <w:rsid w:val="009E0261"/>
    <w:rsid w:val="009E1CA2"/>
    <w:rsid w:val="009E21B5"/>
    <w:rsid w:val="009E4855"/>
    <w:rsid w:val="009E4994"/>
    <w:rsid w:val="009E5723"/>
    <w:rsid w:val="009E5A2D"/>
    <w:rsid w:val="009E7D44"/>
    <w:rsid w:val="009F0A75"/>
    <w:rsid w:val="009F0BC5"/>
    <w:rsid w:val="009F0E4C"/>
    <w:rsid w:val="009F1ACA"/>
    <w:rsid w:val="009F1F49"/>
    <w:rsid w:val="009F20FF"/>
    <w:rsid w:val="009F2510"/>
    <w:rsid w:val="009F311B"/>
    <w:rsid w:val="009F5209"/>
    <w:rsid w:val="009F5473"/>
    <w:rsid w:val="009F6701"/>
    <w:rsid w:val="009F764B"/>
    <w:rsid w:val="009F7664"/>
    <w:rsid w:val="00A02CDE"/>
    <w:rsid w:val="00A032E5"/>
    <w:rsid w:val="00A05253"/>
    <w:rsid w:val="00A055EF"/>
    <w:rsid w:val="00A060B0"/>
    <w:rsid w:val="00A06947"/>
    <w:rsid w:val="00A07CDB"/>
    <w:rsid w:val="00A10391"/>
    <w:rsid w:val="00A1056B"/>
    <w:rsid w:val="00A10EBC"/>
    <w:rsid w:val="00A11648"/>
    <w:rsid w:val="00A117BC"/>
    <w:rsid w:val="00A12592"/>
    <w:rsid w:val="00A1430A"/>
    <w:rsid w:val="00A149AF"/>
    <w:rsid w:val="00A15313"/>
    <w:rsid w:val="00A156AD"/>
    <w:rsid w:val="00A15CF9"/>
    <w:rsid w:val="00A160A1"/>
    <w:rsid w:val="00A174C9"/>
    <w:rsid w:val="00A17AD7"/>
    <w:rsid w:val="00A17D40"/>
    <w:rsid w:val="00A2033E"/>
    <w:rsid w:val="00A2050A"/>
    <w:rsid w:val="00A21262"/>
    <w:rsid w:val="00A217C0"/>
    <w:rsid w:val="00A21F85"/>
    <w:rsid w:val="00A22D92"/>
    <w:rsid w:val="00A23B81"/>
    <w:rsid w:val="00A25EE6"/>
    <w:rsid w:val="00A260B1"/>
    <w:rsid w:val="00A2776B"/>
    <w:rsid w:val="00A317C8"/>
    <w:rsid w:val="00A31CF1"/>
    <w:rsid w:val="00A322A9"/>
    <w:rsid w:val="00A32861"/>
    <w:rsid w:val="00A33294"/>
    <w:rsid w:val="00A332E6"/>
    <w:rsid w:val="00A33B88"/>
    <w:rsid w:val="00A34D36"/>
    <w:rsid w:val="00A35BE0"/>
    <w:rsid w:val="00A37CB8"/>
    <w:rsid w:val="00A37EA7"/>
    <w:rsid w:val="00A434E8"/>
    <w:rsid w:val="00A456B5"/>
    <w:rsid w:val="00A46010"/>
    <w:rsid w:val="00A464E3"/>
    <w:rsid w:val="00A47FD9"/>
    <w:rsid w:val="00A5068D"/>
    <w:rsid w:val="00A507DE"/>
    <w:rsid w:val="00A50EF8"/>
    <w:rsid w:val="00A52A84"/>
    <w:rsid w:val="00A5368F"/>
    <w:rsid w:val="00A541AB"/>
    <w:rsid w:val="00A54510"/>
    <w:rsid w:val="00A54733"/>
    <w:rsid w:val="00A57BC1"/>
    <w:rsid w:val="00A60279"/>
    <w:rsid w:val="00A62109"/>
    <w:rsid w:val="00A627F8"/>
    <w:rsid w:val="00A640C2"/>
    <w:rsid w:val="00A644ED"/>
    <w:rsid w:val="00A65D61"/>
    <w:rsid w:val="00A66B38"/>
    <w:rsid w:val="00A67258"/>
    <w:rsid w:val="00A67B4F"/>
    <w:rsid w:val="00A70104"/>
    <w:rsid w:val="00A70AF6"/>
    <w:rsid w:val="00A70C81"/>
    <w:rsid w:val="00A71603"/>
    <w:rsid w:val="00A71E69"/>
    <w:rsid w:val="00A733BD"/>
    <w:rsid w:val="00A74426"/>
    <w:rsid w:val="00A7475B"/>
    <w:rsid w:val="00A74927"/>
    <w:rsid w:val="00A7519F"/>
    <w:rsid w:val="00A76E25"/>
    <w:rsid w:val="00A76FA9"/>
    <w:rsid w:val="00A77896"/>
    <w:rsid w:val="00A814F0"/>
    <w:rsid w:val="00A82418"/>
    <w:rsid w:val="00A8251B"/>
    <w:rsid w:val="00A828EC"/>
    <w:rsid w:val="00A85FFA"/>
    <w:rsid w:val="00A8622E"/>
    <w:rsid w:val="00A87438"/>
    <w:rsid w:val="00A91FF8"/>
    <w:rsid w:val="00A93B27"/>
    <w:rsid w:val="00A94101"/>
    <w:rsid w:val="00AA0A66"/>
    <w:rsid w:val="00AA2017"/>
    <w:rsid w:val="00AA2807"/>
    <w:rsid w:val="00AA287D"/>
    <w:rsid w:val="00AA2987"/>
    <w:rsid w:val="00AA3812"/>
    <w:rsid w:val="00AA3FD4"/>
    <w:rsid w:val="00AA4543"/>
    <w:rsid w:val="00AA4AA3"/>
    <w:rsid w:val="00AA50C8"/>
    <w:rsid w:val="00AA59DD"/>
    <w:rsid w:val="00AA5A84"/>
    <w:rsid w:val="00AA63FB"/>
    <w:rsid w:val="00AA7922"/>
    <w:rsid w:val="00AB05E5"/>
    <w:rsid w:val="00AB1A56"/>
    <w:rsid w:val="00AB258E"/>
    <w:rsid w:val="00AB336B"/>
    <w:rsid w:val="00AB3CCA"/>
    <w:rsid w:val="00AB3DCE"/>
    <w:rsid w:val="00AB3E36"/>
    <w:rsid w:val="00AB44FD"/>
    <w:rsid w:val="00AB72C5"/>
    <w:rsid w:val="00AC1157"/>
    <w:rsid w:val="00AC300F"/>
    <w:rsid w:val="00AC314E"/>
    <w:rsid w:val="00AC7970"/>
    <w:rsid w:val="00AD19C9"/>
    <w:rsid w:val="00AD2598"/>
    <w:rsid w:val="00AD43CD"/>
    <w:rsid w:val="00AD4DC3"/>
    <w:rsid w:val="00AD57BB"/>
    <w:rsid w:val="00AD5C7E"/>
    <w:rsid w:val="00AD6DB0"/>
    <w:rsid w:val="00AD7CB9"/>
    <w:rsid w:val="00AE0686"/>
    <w:rsid w:val="00AE1F7A"/>
    <w:rsid w:val="00AE2A15"/>
    <w:rsid w:val="00AE33AD"/>
    <w:rsid w:val="00AE3F57"/>
    <w:rsid w:val="00AE4B98"/>
    <w:rsid w:val="00AE51EB"/>
    <w:rsid w:val="00AE6317"/>
    <w:rsid w:val="00AE74C7"/>
    <w:rsid w:val="00AE76CB"/>
    <w:rsid w:val="00AF1BC7"/>
    <w:rsid w:val="00AF2715"/>
    <w:rsid w:val="00AF382A"/>
    <w:rsid w:val="00AF3C44"/>
    <w:rsid w:val="00AF48BB"/>
    <w:rsid w:val="00AF7FB8"/>
    <w:rsid w:val="00B005AE"/>
    <w:rsid w:val="00B008F0"/>
    <w:rsid w:val="00B012F0"/>
    <w:rsid w:val="00B025B3"/>
    <w:rsid w:val="00B03992"/>
    <w:rsid w:val="00B042B0"/>
    <w:rsid w:val="00B04902"/>
    <w:rsid w:val="00B053E7"/>
    <w:rsid w:val="00B06C63"/>
    <w:rsid w:val="00B071AE"/>
    <w:rsid w:val="00B071E8"/>
    <w:rsid w:val="00B072B4"/>
    <w:rsid w:val="00B07B8C"/>
    <w:rsid w:val="00B10FBC"/>
    <w:rsid w:val="00B114EA"/>
    <w:rsid w:val="00B11B0B"/>
    <w:rsid w:val="00B121AB"/>
    <w:rsid w:val="00B13874"/>
    <w:rsid w:val="00B14557"/>
    <w:rsid w:val="00B15039"/>
    <w:rsid w:val="00B160B2"/>
    <w:rsid w:val="00B16333"/>
    <w:rsid w:val="00B20037"/>
    <w:rsid w:val="00B20BE5"/>
    <w:rsid w:val="00B211D2"/>
    <w:rsid w:val="00B22022"/>
    <w:rsid w:val="00B235B5"/>
    <w:rsid w:val="00B25BC4"/>
    <w:rsid w:val="00B26CDD"/>
    <w:rsid w:val="00B30467"/>
    <w:rsid w:val="00B30AB8"/>
    <w:rsid w:val="00B30D30"/>
    <w:rsid w:val="00B330C4"/>
    <w:rsid w:val="00B33691"/>
    <w:rsid w:val="00B33A46"/>
    <w:rsid w:val="00B34798"/>
    <w:rsid w:val="00B34C9B"/>
    <w:rsid w:val="00B3539A"/>
    <w:rsid w:val="00B355B1"/>
    <w:rsid w:val="00B3670E"/>
    <w:rsid w:val="00B36806"/>
    <w:rsid w:val="00B36F08"/>
    <w:rsid w:val="00B40F54"/>
    <w:rsid w:val="00B41186"/>
    <w:rsid w:val="00B4180A"/>
    <w:rsid w:val="00B4308E"/>
    <w:rsid w:val="00B44A8C"/>
    <w:rsid w:val="00B44D69"/>
    <w:rsid w:val="00B45527"/>
    <w:rsid w:val="00B465F0"/>
    <w:rsid w:val="00B50908"/>
    <w:rsid w:val="00B50CDF"/>
    <w:rsid w:val="00B50F60"/>
    <w:rsid w:val="00B513FA"/>
    <w:rsid w:val="00B51985"/>
    <w:rsid w:val="00B52E45"/>
    <w:rsid w:val="00B52FD5"/>
    <w:rsid w:val="00B542A9"/>
    <w:rsid w:val="00B54BAC"/>
    <w:rsid w:val="00B54C2D"/>
    <w:rsid w:val="00B5562D"/>
    <w:rsid w:val="00B557AF"/>
    <w:rsid w:val="00B55A9B"/>
    <w:rsid w:val="00B55BB2"/>
    <w:rsid w:val="00B57DB7"/>
    <w:rsid w:val="00B6091F"/>
    <w:rsid w:val="00B61E42"/>
    <w:rsid w:val="00B62CA4"/>
    <w:rsid w:val="00B6326F"/>
    <w:rsid w:val="00B63A5D"/>
    <w:rsid w:val="00B63B15"/>
    <w:rsid w:val="00B670FC"/>
    <w:rsid w:val="00B6792D"/>
    <w:rsid w:val="00B709E2"/>
    <w:rsid w:val="00B70FB4"/>
    <w:rsid w:val="00B718F0"/>
    <w:rsid w:val="00B720A7"/>
    <w:rsid w:val="00B722AD"/>
    <w:rsid w:val="00B73F28"/>
    <w:rsid w:val="00B757DF"/>
    <w:rsid w:val="00B75CAF"/>
    <w:rsid w:val="00B76428"/>
    <w:rsid w:val="00B771BF"/>
    <w:rsid w:val="00B80E7E"/>
    <w:rsid w:val="00B812AB"/>
    <w:rsid w:val="00B83A3D"/>
    <w:rsid w:val="00B84101"/>
    <w:rsid w:val="00B84C95"/>
    <w:rsid w:val="00B85666"/>
    <w:rsid w:val="00B86262"/>
    <w:rsid w:val="00B872BD"/>
    <w:rsid w:val="00B8761E"/>
    <w:rsid w:val="00B90C5B"/>
    <w:rsid w:val="00B919CF"/>
    <w:rsid w:val="00B93FE1"/>
    <w:rsid w:val="00B942FD"/>
    <w:rsid w:val="00B943A9"/>
    <w:rsid w:val="00B94BF4"/>
    <w:rsid w:val="00B978F0"/>
    <w:rsid w:val="00B97E92"/>
    <w:rsid w:val="00BA0386"/>
    <w:rsid w:val="00BA0441"/>
    <w:rsid w:val="00BA0597"/>
    <w:rsid w:val="00BA0D54"/>
    <w:rsid w:val="00BA1542"/>
    <w:rsid w:val="00BA3010"/>
    <w:rsid w:val="00BA3858"/>
    <w:rsid w:val="00BA3BFF"/>
    <w:rsid w:val="00BA3F3A"/>
    <w:rsid w:val="00BA45F1"/>
    <w:rsid w:val="00BA4794"/>
    <w:rsid w:val="00BA51D5"/>
    <w:rsid w:val="00BA6D71"/>
    <w:rsid w:val="00BA7EF2"/>
    <w:rsid w:val="00BB02F8"/>
    <w:rsid w:val="00BB068B"/>
    <w:rsid w:val="00BB081B"/>
    <w:rsid w:val="00BB0FE1"/>
    <w:rsid w:val="00BB2340"/>
    <w:rsid w:val="00BB45E7"/>
    <w:rsid w:val="00BB4D48"/>
    <w:rsid w:val="00BB4E1F"/>
    <w:rsid w:val="00BB5C62"/>
    <w:rsid w:val="00BB7CB8"/>
    <w:rsid w:val="00BC0952"/>
    <w:rsid w:val="00BC0B8D"/>
    <w:rsid w:val="00BC246C"/>
    <w:rsid w:val="00BC2A49"/>
    <w:rsid w:val="00BC48B4"/>
    <w:rsid w:val="00BC5004"/>
    <w:rsid w:val="00BC64D9"/>
    <w:rsid w:val="00BC65B4"/>
    <w:rsid w:val="00BC7B07"/>
    <w:rsid w:val="00BC7C76"/>
    <w:rsid w:val="00BD07F6"/>
    <w:rsid w:val="00BD38CC"/>
    <w:rsid w:val="00BD4E0E"/>
    <w:rsid w:val="00BD5B8A"/>
    <w:rsid w:val="00BD5EBC"/>
    <w:rsid w:val="00BD617E"/>
    <w:rsid w:val="00BD61EE"/>
    <w:rsid w:val="00BD67BB"/>
    <w:rsid w:val="00BD7698"/>
    <w:rsid w:val="00BE025D"/>
    <w:rsid w:val="00BE03FA"/>
    <w:rsid w:val="00BE041A"/>
    <w:rsid w:val="00BE081B"/>
    <w:rsid w:val="00BE0832"/>
    <w:rsid w:val="00BE1268"/>
    <w:rsid w:val="00BE12D4"/>
    <w:rsid w:val="00BE1B62"/>
    <w:rsid w:val="00BE1B7E"/>
    <w:rsid w:val="00BE1D3E"/>
    <w:rsid w:val="00BE3BB8"/>
    <w:rsid w:val="00BE4F7B"/>
    <w:rsid w:val="00BE6307"/>
    <w:rsid w:val="00BE6447"/>
    <w:rsid w:val="00BE74D5"/>
    <w:rsid w:val="00BE784D"/>
    <w:rsid w:val="00BE7C7B"/>
    <w:rsid w:val="00BE7F98"/>
    <w:rsid w:val="00BF015E"/>
    <w:rsid w:val="00BF0967"/>
    <w:rsid w:val="00BF2DFF"/>
    <w:rsid w:val="00BF300B"/>
    <w:rsid w:val="00BF52F6"/>
    <w:rsid w:val="00BF5E2E"/>
    <w:rsid w:val="00C0013E"/>
    <w:rsid w:val="00C00BAD"/>
    <w:rsid w:val="00C021B1"/>
    <w:rsid w:val="00C04AE2"/>
    <w:rsid w:val="00C04DF3"/>
    <w:rsid w:val="00C104AF"/>
    <w:rsid w:val="00C11214"/>
    <w:rsid w:val="00C11C0E"/>
    <w:rsid w:val="00C13592"/>
    <w:rsid w:val="00C13AFC"/>
    <w:rsid w:val="00C14DE9"/>
    <w:rsid w:val="00C1631C"/>
    <w:rsid w:val="00C21B0F"/>
    <w:rsid w:val="00C223F4"/>
    <w:rsid w:val="00C224A3"/>
    <w:rsid w:val="00C2306F"/>
    <w:rsid w:val="00C2346A"/>
    <w:rsid w:val="00C251C4"/>
    <w:rsid w:val="00C253ED"/>
    <w:rsid w:val="00C25D21"/>
    <w:rsid w:val="00C25DCA"/>
    <w:rsid w:val="00C26EC5"/>
    <w:rsid w:val="00C27748"/>
    <w:rsid w:val="00C31E20"/>
    <w:rsid w:val="00C34383"/>
    <w:rsid w:val="00C362E5"/>
    <w:rsid w:val="00C36746"/>
    <w:rsid w:val="00C36888"/>
    <w:rsid w:val="00C3734A"/>
    <w:rsid w:val="00C41898"/>
    <w:rsid w:val="00C424B5"/>
    <w:rsid w:val="00C436AD"/>
    <w:rsid w:val="00C43801"/>
    <w:rsid w:val="00C43938"/>
    <w:rsid w:val="00C4470C"/>
    <w:rsid w:val="00C44EA0"/>
    <w:rsid w:val="00C45759"/>
    <w:rsid w:val="00C46683"/>
    <w:rsid w:val="00C47649"/>
    <w:rsid w:val="00C47748"/>
    <w:rsid w:val="00C477F6"/>
    <w:rsid w:val="00C50EAC"/>
    <w:rsid w:val="00C5201D"/>
    <w:rsid w:val="00C52E08"/>
    <w:rsid w:val="00C54951"/>
    <w:rsid w:val="00C54F20"/>
    <w:rsid w:val="00C57DC5"/>
    <w:rsid w:val="00C57F42"/>
    <w:rsid w:val="00C61ECA"/>
    <w:rsid w:val="00C63A72"/>
    <w:rsid w:val="00C658A4"/>
    <w:rsid w:val="00C66F54"/>
    <w:rsid w:val="00C721DE"/>
    <w:rsid w:val="00C7311C"/>
    <w:rsid w:val="00C73D72"/>
    <w:rsid w:val="00C74EE9"/>
    <w:rsid w:val="00C7613B"/>
    <w:rsid w:val="00C76CDA"/>
    <w:rsid w:val="00C80B75"/>
    <w:rsid w:val="00C81337"/>
    <w:rsid w:val="00C82D79"/>
    <w:rsid w:val="00C83DAC"/>
    <w:rsid w:val="00C842AB"/>
    <w:rsid w:val="00C84F68"/>
    <w:rsid w:val="00C85AB4"/>
    <w:rsid w:val="00C87629"/>
    <w:rsid w:val="00C91A3E"/>
    <w:rsid w:val="00C9373C"/>
    <w:rsid w:val="00C945EB"/>
    <w:rsid w:val="00C95192"/>
    <w:rsid w:val="00C97F3F"/>
    <w:rsid w:val="00CA0674"/>
    <w:rsid w:val="00CA0AEF"/>
    <w:rsid w:val="00CA0B99"/>
    <w:rsid w:val="00CA3160"/>
    <w:rsid w:val="00CA3E67"/>
    <w:rsid w:val="00CA3EF6"/>
    <w:rsid w:val="00CA5E2F"/>
    <w:rsid w:val="00CB06CA"/>
    <w:rsid w:val="00CB2205"/>
    <w:rsid w:val="00CB2497"/>
    <w:rsid w:val="00CB31C2"/>
    <w:rsid w:val="00CB5509"/>
    <w:rsid w:val="00CB5982"/>
    <w:rsid w:val="00CB5BE6"/>
    <w:rsid w:val="00CB68E7"/>
    <w:rsid w:val="00CB7B3E"/>
    <w:rsid w:val="00CB7D80"/>
    <w:rsid w:val="00CC09B1"/>
    <w:rsid w:val="00CC47FC"/>
    <w:rsid w:val="00CC4A00"/>
    <w:rsid w:val="00CC611F"/>
    <w:rsid w:val="00CC6E00"/>
    <w:rsid w:val="00CD154C"/>
    <w:rsid w:val="00CD35F6"/>
    <w:rsid w:val="00CD46AC"/>
    <w:rsid w:val="00CD4CC5"/>
    <w:rsid w:val="00CD56B0"/>
    <w:rsid w:val="00CD6C03"/>
    <w:rsid w:val="00CD6FD7"/>
    <w:rsid w:val="00CD7A1C"/>
    <w:rsid w:val="00CE02C1"/>
    <w:rsid w:val="00CE12AE"/>
    <w:rsid w:val="00CE269C"/>
    <w:rsid w:val="00CE290C"/>
    <w:rsid w:val="00CE4DCB"/>
    <w:rsid w:val="00CE5976"/>
    <w:rsid w:val="00CE5CE6"/>
    <w:rsid w:val="00CE6776"/>
    <w:rsid w:val="00CE6E4F"/>
    <w:rsid w:val="00CE763E"/>
    <w:rsid w:val="00CF0C33"/>
    <w:rsid w:val="00CF1A59"/>
    <w:rsid w:val="00CF1BB7"/>
    <w:rsid w:val="00CF202B"/>
    <w:rsid w:val="00CF2324"/>
    <w:rsid w:val="00CF2C82"/>
    <w:rsid w:val="00CF349F"/>
    <w:rsid w:val="00CF49A0"/>
    <w:rsid w:val="00CF7298"/>
    <w:rsid w:val="00D00364"/>
    <w:rsid w:val="00D00631"/>
    <w:rsid w:val="00D03EA5"/>
    <w:rsid w:val="00D057DD"/>
    <w:rsid w:val="00D07B83"/>
    <w:rsid w:val="00D108CD"/>
    <w:rsid w:val="00D10B54"/>
    <w:rsid w:val="00D12651"/>
    <w:rsid w:val="00D127A6"/>
    <w:rsid w:val="00D149BE"/>
    <w:rsid w:val="00D1511A"/>
    <w:rsid w:val="00D155DB"/>
    <w:rsid w:val="00D15DA8"/>
    <w:rsid w:val="00D16AC1"/>
    <w:rsid w:val="00D2000B"/>
    <w:rsid w:val="00D20C46"/>
    <w:rsid w:val="00D20C95"/>
    <w:rsid w:val="00D20FE1"/>
    <w:rsid w:val="00D21ADB"/>
    <w:rsid w:val="00D21B54"/>
    <w:rsid w:val="00D21B68"/>
    <w:rsid w:val="00D22A2B"/>
    <w:rsid w:val="00D26351"/>
    <w:rsid w:val="00D26654"/>
    <w:rsid w:val="00D26B3D"/>
    <w:rsid w:val="00D277C4"/>
    <w:rsid w:val="00D27ED6"/>
    <w:rsid w:val="00D30A4D"/>
    <w:rsid w:val="00D324C0"/>
    <w:rsid w:val="00D32D8E"/>
    <w:rsid w:val="00D33747"/>
    <w:rsid w:val="00D33F41"/>
    <w:rsid w:val="00D352A2"/>
    <w:rsid w:val="00D358C2"/>
    <w:rsid w:val="00D36F95"/>
    <w:rsid w:val="00D40799"/>
    <w:rsid w:val="00D40ABA"/>
    <w:rsid w:val="00D41115"/>
    <w:rsid w:val="00D46284"/>
    <w:rsid w:val="00D476F1"/>
    <w:rsid w:val="00D50555"/>
    <w:rsid w:val="00D51B93"/>
    <w:rsid w:val="00D5205A"/>
    <w:rsid w:val="00D55F2F"/>
    <w:rsid w:val="00D571DE"/>
    <w:rsid w:val="00D57A80"/>
    <w:rsid w:val="00D6025D"/>
    <w:rsid w:val="00D6101D"/>
    <w:rsid w:val="00D61815"/>
    <w:rsid w:val="00D61E2E"/>
    <w:rsid w:val="00D621B5"/>
    <w:rsid w:val="00D703F8"/>
    <w:rsid w:val="00D70D7C"/>
    <w:rsid w:val="00D710EB"/>
    <w:rsid w:val="00D71E73"/>
    <w:rsid w:val="00D72FE2"/>
    <w:rsid w:val="00D74061"/>
    <w:rsid w:val="00D741A0"/>
    <w:rsid w:val="00D75AF9"/>
    <w:rsid w:val="00D75BB9"/>
    <w:rsid w:val="00D7649F"/>
    <w:rsid w:val="00D76B38"/>
    <w:rsid w:val="00D76F6C"/>
    <w:rsid w:val="00D76FC7"/>
    <w:rsid w:val="00D774BC"/>
    <w:rsid w:val="00D77677"/>
    <w:rsid w:val="00D77A08"/>
    <w:rsid w:val="00D80985"/>
    <w:rsid w:val="00D80D5E"/>
    <w:rsid w:val="00D82A4D"/>
    <w:rsid w:val="00D846E6"/>
    <w:rsid w:val="00D85092"/>
    <w:rsid w:val="00D856EB"/>
    <w:rsid w:val="00D85F0D"/>
    <w:rsid w:val="00D8635E"/>
    <w:rsid w:val="00D90456"/>
    <w:rsid w:val="00D90FB9"/>
    <w:rsid w:val="00D91494"/>
    <w:rsid w:val="00D930D5"/>
    <w:rsid w:val="00D930F0"/>
    <w:rsid w:val="00D93A96"/>
    <w:rsid w:val="00D93DDD"/>
    <w:rsid w:val="00D93EF0"/>
    <w:rsid w:val="00D94208"/>
    <w:rsid w:val="00D944E2"/>
    <w:rsid w:val="00D95A9C"/>
    <w:rsid w:val="00D96950"/>
    <w:rsid w:val="00D972FF"/>
    <w:rsid w:val="00DA0BC8"/>
    <w:rsid w:val="00DA2110"/>
    <w:rsid w:val="00DA2F08"/>
    <w:rsid w:val="00DA3A36"/>
    <w:rsid w:val="00DA4CD9"/>
    <w:rsid w:val="00DA4E4E"/>
    <w:rsid w:val="00DA50A9"/>
    <w:rsid w:val="00DA51B0"/>
    <w:rsid w:val="00DA639E"/>
    <w:rsid w:val="00DA6AD1"/>
    <w:rsid w:val="00DB0A8A"/>
    <w:rsid w:val="00DB0B3C"/>
    <w:rsid w:val="00DB40C3"/>
    <w:rsid w:val="00DB450C"/>
    <w:rsid w:val="00DB4A69"/>
    <w:rsid w:val="00DB4CAB"/>
    <w:rsid w:val="00DB4EE5"/>
    <w:rsid w:val="00DB50FD"/>
    <w:rsid w:val="00DC00C8"/>
    <w:rsid w:val="00DC0353"/>
    <w:rsid w:val="00DC03BC"/>
    <w:rsid w:val="00DC0F05"/>
    <w:rsid w:val="00DC1872"/>
    <w:rsid w:val="00DC2DA0"/>
    <w:rsid w:val="00DC3644"/>
    <w:rsid w:val="00DC3C9F"/>
    <w:rsid w:val="00DC406D"/>
    <w:rsid w:val="00DC4EF7"/>
    <w:rsid w:val="00DC592B"/>
    <w:rsid w:val="00DC5CB5"/>
    <w:rsid w:val="00DC7AF7"/>
    <w:rsid w:val="00DD182F"/>
    <w:rsid w:val="00DD1A3D"/>
    <w:rsid w:val="00DD229B"/>
    <w:rsid w:val="00DD22EB"/>
    <w:rsid w:val="00DD3B1A"/>
    <w:rsid w:val="00DD406C"/>
    <w:rsid w:val="00DD48EB"/>
    <w:rsid w:val="00DD49E4"/>
    <w:rsid w:val="00DD743A"/>
    <w:rsid w:val="00DD754E"/>
    <w:rsid w:val="00DE0439"/>
    <w:rsid w:val="00DE0ADC"/>
    <w:rsid w:val="00DE2662"/>
    <w:rsid w:val="00DE3B77"/>
    <w:rsid w:val="00DE4B25"/>
    <w:rsid w:val="00DE4F19"/>
    <w:rsid w:val="00DE5AB5"/>
    <w:rsid w:val="00DE7441"/>
    <w:rsid w:val="00DE78C5"/>
    <w:rsid w:val="00DF0166"/>
    <w:rsid w:val="00DF0C35"/>
    <w:rsid w:val="00DF20E7"/>
    <w:rsid w:val="00DF28AC"/>
    <w:rsid w:val="00DF2AE6"/>
    <w:rsid w:val="00DF3758"/>
    <w:rsid w:val="00DF40FE"/>
    <w:rsid w:val="00DF5CFB"/>
    <w:rsid w:val="00DF60B0"/>
    <w:rsid w:val="00DF6545"/>
    <w:rsid w:val="00DF703E"/>
    <w:rsid w:val="00DF7434"/>
    <w:rsid w:val="00DF75FF"/>
    <w:rsid w:val="00DF76A8"/>
    <w:rsid w:val="00DF7C6E"/>
    <w:rsid w:val="00E01266"/>
    <w:rsid w:val="00E01528"/>
    <w:rsid w:val="00E016A8"/>
    <w:rsid w:val="00E03238"/>
    <w:rsid w:val="00E038C3"/>
    <w:rsid w:val="00E05506"/>
    <w:rsid w:val="00E06144"/>
    <w:rsid w:val="00E07150"/>
    <w:rsid w:val="00E07ED8"/>
    <w:rsid w:val="00E10088"/>
    <w:rsid w:val="00E11A3C"/>
    <w:rsid w:val="00E12C8C"/>
    <w:rsid w:val="00E1383B"/>
    <w:rsid w:val="00E13FFD"/>
    <w:rsid w:val="00E148E9"/>
    <w:rsid w:val="00E14BD0"/>
    <w:rsid w:val="00E16B85"/>
    <w:rsid w:val="00E16DFE"/>
    <w:rsid w:val="00E17650"/>
    <w:rsid w:val="00E176F1"/>
    <w:rsid w:val="00E17C0F"/>
    <w:rsid w:val="00E17C6E"/>
    <w:rsid w:val="00E20DD3"/>
    <w:rsid w:val="00E243A1"/>
    <w:rsid w:val="00E247E9"/>
    <w:rsid w:val="00E24D36"/>
    <w:rsid w:val="00E27B28"/>
    <w:rsid w:val="00E314A8"/>
    <w:rsid w:val="00E3191D"/>
    <w:rsid w:val="00E327DC"/>
    <w:rsid w:val="00E32AB3"/>
    <w:rsid w:val="00E33912"/>
    <w:rsid w:val="00E35029"/>
    <w:rsid w:val="00E35969"/>
    <w:rsid w:val="00E360EE"/>
    <w:rsid w:val="00E36314"/>
    <w:rsid w:val="00E41CCE"/>
    <w:rsid w:val="00E42DD8"/>
    <w:rsid w:val="00E4377F"/>
    <w:rsid w:val="00E43E9A"/>
    <w:rsid w:val="00E44834"/>
    <w:rsid w:val="00E45728"/>
    <w:rsid w:val="00E468D6"/>
    <w:rsid w:val="00E46FC9"/>
    <w:rsid w:val="00E504B3"/>
    <w:rsid w:val="00E512C5"/>
    <w:rsid w:val="00E5141F"/>
    <w:rsid w:val="00E51F7D"/>
    <w:rsid w:val="00E52402"/>
    <w:rsid w:val="00E53ABD"/>
    <w:rsid w:val="00E53EB9"/>
    <w:rsid w:val="00E54541"/>
    <w:rsid w:val="00E55CA8"/>
    <w:rsid w:val="00E55CBA"/>
    <w:rsid w:val="00E60BA3"/>
    <w:rsid w:val="00E61010"/>
    <w:rsid w:val="00E61F3E"/>
    <w:rsid w:val="00E62C9E"/>
    <w:rsid w:val="00E62D24"/>
    <w:rsid w:val="00E63E93"/>
    <w:rsid w:val="00E64E15"/>
    <w:rsid w:val="00E658E4"/>
    <w:rsid w:val="00E659BB"/>
    <w:rsid w:val="00E6632B"/>
    <w:rsid w:val="00E666E1"/>
    <w:rsid w:val="00E67AC2"/>
    <w:rsid w:val="00E709EC"/>
    <w:rsid w:val="00E70EB4"/>
    <w:rsid w:val="00E7122A"/>
    <w:rsid w:val="00E7251A"/>
    <w:rsid w:val="00E72B0E"/>
    <w:rsid w:val="00E73335"/>
    <w:rsid w:val="00E737DD"/>
    <w:rsid w:val="00E73BA5"/>
    <w:rsid w:val="00E73E86"/>
    <w:rsid w:val="00E74DC3"/>
    <w:rsid w:val="00E759EE"/>
    <w:rsid w:val="00E761B7"/>
    <w:rsid w:val="00E76200"/>
    <w:rsid w:val="00E7676B"/>
    <w:rsid w:val="00E76ABF"/>
    <w:rsid w:val="00E77152"/>
    <w:rsid w:val="00E77756"/>
    <w:rsid w:val="00E83D82"/>
    <w:rsid w:val="00E83FC4"/>
    <w:rsid w:val="00E86638"/>
    <w:rsid w:val="00E86C0B"/>
    <w:rsid w:val="00E86D2F"/>
    <w:rsid w:val="00E87D23"/>
    <w:rsid w:val="00E90200"/>
    <w:rsid w:val="00E912AF"/>
    <w:rsid w:val="00E91515"/>
    <w:rsid w:val="00E91ED9"/>
    <w:rsid w:val="00E922D4"/>
    <w:rsid w:val="00E9320B"/>
    <w:rsid w:val="00E94E26"/>
    <w:rsid w:val="00E951FD"/>
    <w:rsid w:val="00E959B5"/>
    <w:rsid w:val="00E967C6"/>
    <w:rsid w:val="00EA15EE"/>
    <w:rsid w:val="00EA1B1E"/>
    <w:rsid w:val="00EA2244"/>
    <w:rsid w:val="00EA2B96"/>
    <w:rsid w:val="00EA2C80"/>
    <w:rsid w:val="00EA39CC"/>
    <w:rsid w:val="00EA4746"/>
    <w:rsid w:val="00EA54D4"/>
    <w:rsid w:val="00EA5E0C"/>
    <w:rsid w:val="00EA7F2E"/>
    <w:rsid w:val="00EB15D0"/>
    <w:rsid w:val="00EB24B6"/>
    <w:rsid w:val="00EB2C54"/>
    <w:rsid w:val="00EB2DFF"/>
    <w:rsid w:val="00EB3445"/>
    <w:rsid w:val="00EB3902"/>
    <w:rsid w:val="00EB3ACF"/>
    <w:rsid w:val="00EB40DA"/>
    <w:rsid w:val="00EB4D88"/>
    <w:rsid w:val="00EB578D"/>
    <w:rsid w:val="00EB6CC7"/>
    <w:rsid w:val="00EB78D6"/>
    <w:rsid w:val="00EB7939"/>
    <w:rsid w:val="00EB7E14"/>
    <w:rsid w:val="00EB7F08"/>
    <w:rsid w:val="00EC1782"/>
    <w:rsid w:val="00EC2781"/>
    <w:rsid w:val="00EC2FB8"/>
    <w:rsid w:val="00EC346A"/>
    <w:rsid w:val="00EC389C"/>
    <w:rsid w:val="00EC39C5"/>
    <w:rsid w:val="00EC3ADA"/>
    <w:rsid w:val="00EC4E8D"/>
    <w:rsid w:val="00EC5363"/>
    <w:rsid w:val="00EC701B"/>
    <w:rsid w:val="00ED1EEF"/>
    <w:rsid w:val="00ED2D8E"/>
    <w:rsid w:val="00ED402D"/>
    <w:rsid w:val="00ED4D0F"/>
    <w:rsid w:val="00ED5071"/>
    <w:rsid w:val="00ED5BBA"/>
    <w:rsid w:val="00ED6258"/>
    <w:rsid w:val="00EE03C9"/>
    <w:rsid w:val="00EE5829"/>
    <w:rsid w:val="00EE76AF"/>
    <w:rsid w:val="00EE7DE7"/>
    <w:rsid w:val="00EF0B6B"/>
    <w:rsid w:val="00EF22AE"/>
    <w:rsid w:val="00EF26BC"/>
    <w:rsid w:val="00EF284C"/>
    <w:rsid w:val="00EF297B"/>
    <w:rsid w:val="00EF3366"/>
    <w:rsid w:val="00EF4678"/>
    <w:rsid w:val="00EF56BB"/>
    <w:rsid w:val="00EF76D6"/>
    <w:rsid w:val="00EF7909"/>
    <w:rsid w:val="00F00B62"/>
    <w:rsid w:val="00F01A26"/>
    <w:rsid w:val="00F025F7"/>
    <w:rsid w:val="00F02821"/>
    <w:rsid w:val="00F02A1B"/>
    <w:rsid w:val="00F03434"/>
    <w:rsid w:val="00F04F51"/>
    <w:rsid w:val="00F051E7"/>
    <w:rsid w:val="00F05822"/>
    <w:rsid w:val="00F06060"/>
    <w:rsid w:val="00F06E4E"/>
    <w:rsid w:val="00F10516"/>
    <w:rsid w:val="00F11030"/>
    <w:rsid w:val="00F12D92"/>
    <w:rsid w:val="00F13006"/>
    <w:rsid w:val="00F13A07"/>
    <w:rsid w:val="00F15CB9"/>
    <w:rsid w:val="00F164A2"/>
    <w:rsid w:val="00F16A02"/>
    <w:rsid w:val="00F17BFE"/>
    <w:rsid w:val="00F20670"/>
    <w:rsid w:val="00F20BDC"/>
    <w:rsid w:val="00F21251"/>
    <w:rsid w:val="00F21325"/>
    <w:rsid w:val="00F21F66"/>
    <w:rsid w:val="00F23122"/>
    <w:rsid w:val="00F2560F"/>
    <w:rsid w:val="00F25B78"/>
    <w:rsid w:val="00F26373"/>
    <w:rsid w:val="00F26648"/>
    <w:rsid w:val="00F31209"/>
    <w:rsid w:val="00F316C6"/>
    <w:rsid w:val="00F317BE"/>
    <w:rsid w:val="00F3481B"/>
    <w:rsid w:val="00F355B7"/>
    <w:rsid w:val="00F35895"/>
    <w:rsid w:val="00F3629A"/>
    <w:rsid w:val="00F364DE"/>
    <w:rsid w:val="00F366C5"/>
    <w:rsid w:val="00F37900"/>
    <w:rsid w:val="00F400FD"/>
    <w:rsid w:val="00F42272"/>
    <w:rsid w:val="00F43AD6"/>
    <w:rsid w:val="00F43C1B"/>
    <w:rsid w:val="00F45C90"/>
    <w:rsid w:val="00F471C5"/>
    <w:rsid w:val="00F4788E"/>
    <w:rsid w:val="00F47A2E"/>
    <w:rsid w:val="00F508EC"/>
    <w:rsid w:val="00F50BD3"/>
    <w:rsid w:val="00F52000"/>
    <w:rsid w:val="00F52039"/>
    <w:rsid w:val="00F527A0"/>
    <w:rsid w:val="00F56AFA"/>
    <w:rsid w:val="00F57AD1"/>
    <w:rsid w:val="00F60FC6"/>
    <w:rsid w:val="00F6177F"/>
    <w:rsid w:val="00F62C6E"/>
    <w:rsid w:val="00F6548E"/>
    <w:rsid w:val="00F66A0F"/>
    <w:rsid w:val="00F67F3A"/>
    <w:rsid w:val="00F712CD"/>
    <w:rsid w:val="00F7466E"/>
    <w:rsid w:val="00F74970"/>
    <w:rsid w:val="00F74C3C"/>
    <w:rsid w:val="00F76033"/>
    <w:rsid w:val="00F76BD4"/>
    <w:rsid w:val="00F7712C"/>
    <w:rsid w:val="00F80226"/>
    <w:rsid w:val="00F80856"/>
    <w:rsid w:val="00F80EFA"/>
    <w:rsid w:val="00F80F80"/>
    <w:rsid w:val="00F81BC5"/>
    <w:rsid w:val="00F825A8"/>
    <w:rsid w:val="00F82C39"/>
    <w:rsid w:val="00F82F0B"/>
    <w:rsid w:val="00F83C4F"/>
    <w:rsid w:val="00F87E59"/>
    <w:rsid w:val="00F87EEB"/>
    <w:rsid w:val="00F903A3"/>
    <w:rsid w:val="00F9083A"/>
    <w:rsid w:val="00F909C0"/>
    <w:rsid w:val="00F90BEF"/>
    <w:rsid w:val="00F93DF9"/>
    <w:rsid w:val="00F943BE"/>
    <w:rsid w:val="00F94966"/>
    <w:rsid w:val="00F95525"/>
    <w:rsid w:val="00F95541"/>
    <w:rsid w:val="00F96165"/>
    <w:rsid w:val="00FA0003"/>
    <w:rsid w:val="00FA0ACA"/>
    <w:rsid w:val="00FA1E2C"/>
    <w:rsid w:val="00FA29A9"/>
    <w:rsid w:val="00FA38CF"/>
    <w:rsid w:val="00FA7A7E"/>
    <w:rsid w:val="00FA7B11"/>
    <w:rsid w:val="00FA7B39"/>
    <w:rsid w:val="00FB0048"/>
    <w:rsid w:val="00FB17B5"/>
    <w:rsid w:val="00FB274F"/>
    <w:rsid w:val="00FB29E2"/>
    <w:rsid w:val="00FB2C10"/>
    <w:rsid w:val="00FB36A8"/>
    <w:rsid w:val="00FB4167"/>
    <w:rsid w:val="00FB4678"/>
    <w:rsid w:val="00FB5E6D"/>
    <w:rsid w:val="00FB728E"/>
    <w:rsid w:val="00FC099B"/>
    <w:rsid w:val="00FC0D4E"/>
    <w:rsid w:val="00FC23CD"/>
    <w:rsid w:val="00FC3334"/>
    <w:rsid w:val="00FC3B0E"/>
    <w:rsid w:val="00FC4784"/>
    <w:rsid w:val="00FC5014"/>
    <w:rsid w:val="00FC78C0"/>
    <w:rsid w:val="00FC7E17"/>
    <w:rsid w:val="00FC7F09"/>
    <w:rsid w:val="00FD009A"/>
    <w:rsid w:val="00FD051B"/>
    <w:rsid w:val="00FD0B04"/>
    <w:rsid w:val="00FD18D1"/>
    <w:rsid w:val="00FD1B12"/>
    <w:rsid w:val="00FD2FBB"/>
    <w:rsid w:val="00FD37AD"/>
    <w:rsid w:val="00FD49BB"/>
    <w:rsid w:val="00FD4C19"/>
    <w:rsid w:val="00FD4D55"/>
    <w:rsid w:val="00FD60F6"/>
    <w:rsid w:val="00FD6A79"/>
    <w:rsid w:val="00FD77EE"/>
    <w:rsid w:val="00FE0814"/>
    <w:rsid w:val="00FE09B9"/>
    <w:rsid w:val="00FE3F31"/>
    <w:rsid w:val="00FE5CE6"/>
    <w:rsid w:val="00FE6A66"/>
    <w:rsid w:val="00FE7933"/>
    <w:rsid w:val="00FF05CC"/>
    <w:rsid w:val="00FF0DE5"/>
    <w:rsid w:val="00FF172E"/>
    <w:rsid w:val="00FF2D63"/>
    <w:rsid w:val="00FF3BBA"/>
    <w:rsid w:val="00FF3E17"/>
    <w:rsid w:val="00FF4408"/>
    <w:rsid w:val="00FF510B"/>
    <w:rsid w:val="00FF52C2"/>
    <w:rsid w:val="00FF63C3"/>
    <w:rsid w:val="00FF7FE9"/>
    <w:rsid w:val="010C6A04"/>
    <w:rsid w:val="015206B2"/>
    <w:rsid w:val="0169268B"/>
    <w:rsid w:val="017C26C6"/>
    <w:rsid w:val="017F04AD"/>
    <w:rsid w:val="019E1BAE"/>
    <w:rsid w:val="01C920B2"/>
    <w:rsid w:val="01FE2F61"/>
    <w:rsid w:val="02037E38"/>
    <w:rsid w:val="02065D6B"/>
    <w:rsid w:val="023B70D3"/>
    <w:rsid w:val="025625F5"/>
    <w:rsid w:val="027D2B88"/>
    <w:rsid w:val="02AD5E47"/>
    <w:rsid w:val="02D0665F"/>
    <w:rsid w:val="02F07D29"/>
    <w:rsid w:val="03014F4D"/>
    <w:rsid w:val="030224C9"/>
    <w:rsid w:val="030249A0"/>
    <w:rsid w:val="030E5883"/>
    <w:rsid w:val="0312168A"/>
    <w:rsid w:val="031F67D3"/>
    <w:rsid w:val="032F453F"/>
    <w:rsid w:val="035E61FE"/>
    <w:rsid w:val="03995498"/>
    <w:rsid w:val="03BD67AE"/>
    <w:rsid w:val="03D50AF2"/>
    <w:rsid w:val="03D9526C"/>
    <w:rsid w:val="041170E2"/>
    <w:rsid w:val="04653E84"/>
    <w:rsid w:val="04700BD6"/>
    <w:rsid w:val="04847875"/>
    <w:rsid w:val="04B52BA5"/>
    <w:rsid w:val="04D119A5"/>
    <w:rsid w:val="04E66F63"/>
    <w:rsid w:val="0514389B"/>
    <w:rsid w:val="05170BF2"/>
    <w:rsid w:val="051C0923"/>
    <w:rsid w:val="05311056"/>
    <w:rsid w:val="057E7C0E"/>
    <w:rsid w:val="058630B8"/>
    <w:rsid w:val="058F29A8"/>
    <w:rsid w:val="05924F2B"/>
    <w:rsid w:val="05B174C2"/>
    <w:rsid w:val="05BA75C7"/>
    <w:rsid w:val="05C447FB"/>
    <w:rsid w:val="05D1008D"/>
    <w:rsid w:val="05DE3DFF"/>
    <w:rsid w:val="05F60ABF"/>
    <w:rsid w:val="06024FCC"/>
    <w:rsid w:val="06111705"/>
    <w:rsid w:val="06200337"/>
    <w:rsid w:val="062D0675"/>
    <w:rsid w:val="063060C2"/>
    <w:rsid w:val="063248E6"/>
    <w:rsid w:val="06505888"/>
    <w:rsid w:val="06C36404"/>
    <w:rsid w:val="06F24130"/>
    <w:rsid w:val="07086BC9"/>
    <w:rsid w:val="071C531C"/>
    <w:rsid w:val="07680D2D"/>
    <w:rsid w:val="07731D20"/>
    <w:rsid w:val="077A797D"/>
    <w:rsid w:val="07A15570"/>
    <w:rsid w:val="080C514D"/>
    <w:rsid w:val="083055F6"/>
    <w:rsid w:val="083D5C47"/>
    <w:rsid w:val="085B638B"/>
    <w:rsid w:val="08727DA4"/>
    <w:rsid w:val="08753292"/>
    <w:rsid w:val="08B07319"/>
    <w:rsid w:val="094C39D0"/>
    <w:rsid w:val="096C3079"/>
    <w:rsid w:val="09791348"/>
    <w:rsid w:val="09AE5D77"/>
    <w:rsid w:val="09B961D7"/>
    <w:rsid w:val="09C13A69"/>
    <w:rsid w:val="09C3200B"/>
    <w:rsid w:val="09C73474"/>
    <w:rsid w:val="09F00D60"/>
    <w:rsid w:val="0A0A7776"/>
    <w:rsid w:val="0A1F7045"/>
    <w:rsid w:val="0A31687E"/>
    <w:rsid w:val="0A691E33"/>
    <w:rsid w:val="0A6A494A"/>
    <w:rsid w:val="0A7B0626"/>
    <w:rsid w:val="0AA2215C"/>
    <w:rsid w:val="0AAD70B2"/>
    <w:rsid w:val="0AB61B17"/>
    <w:rsid w:val="0ABB30D3"/>
    <w:rsid w:val="0B0C3BD1"/>
    <w:rsid w:val="0B192F81"/>
    <w:rsid w:val="0BA3172C"/>
    <w:rsid w:val="0BA94C9D"/>
    <w:rsid w:val="0BBB1425"/>
    <w:rsid w:val="0BC50D9C"/>
    <w:rsid w:val="0BCD438F"/>
    <w:rsid w:val="0BD85ED6"/>
    <w:rsid w:val="0BEC78BA"/>
    <w:rsid w:val="0BF5307F"/>
    <w:rsid w:val="0C0D1E21"/>
    <w:rsid w:val="0C2757FF"/>
    <w:rsid w:val="0C45307C"/>
    <w:rsid w:val="0C6F53A3"/>
    <w:rsid w:val="0C8B5739"/>
    <w:rsid w:val="0CB17E61"/>
    <w:rsid w:val="0CB817DA"/>
    <w:rsid w:val="0CCC2832"/>
    <w:rsid w:val="0D020691"/>
    <w:rsid w:val="0D272B43"/>
    <w:rsid w:val="0D766131"/>
    <w:rsid w:val="0D8E424E"/>
    <w:rsid w:val="0D9F2A46"/>
    <w:rsid w:val="0DB63F33"/>
    <w:rsid w:val="0DE07B05"/>
    <w:rsid w:val="0DF61E16"/>
    <w:rsid w:val="0E082D10"/>
    <w:rsid w:val="0E0B2763"/>
    <w:rsid w:val="0E2B7A9D"/>
    <w:rsid w:val="0E4754FD"/>
    <w:rsid w:val="0E4A66BD"/>
    <w:rsid w:val="0E5F382F"/>
    <w:rsid w:val="0E727456"/>
    <w:rsid w:val="0E812709"/>
    <w:rsid w:val="0ED7244F"/>
    <w:rsid w:val="0F501CE0"/>
    <w:rsid w:val="0F521C7D"/>
    <w:rsid w:val="0F6E75A5"/>
    <w:rsid w:val="0F7F5294"/>
    <w:rsid w:val="0FA34574"/>
    <w:rsid w:val="0FC5154E"/>
    <w:rsid w:val="0FC607FE"/>
    <w:rsid w:val="0FD40B26"/>
    <w:rsid w:val="0FD61E15"/>
    <w:rsid w:val="0FDD7D9E"/>
    <w:rsid w:val="101A13C6"/>
    <w:rsid w:val="10327840"/>
    <w:rsid w:val="103B2801"/>
    <w:rsid w:val="103F46E2"/>
    <w:rsid w:val="10D70C44"/>
    <w:rsid w:val="10FA4D27"/>
    <w:rsid w:val="10FC19FF"/>
    <w:rsid w:val="110E639C"/>
    <w:rsid w:val="115A2CDC"/>
    <w:rsid w:val="11B42D19"/>
    <w:rsid w:val="11B67291"/>
    <w:rsid w:val="11C56F3B"/>
    <w:rsid w:val="11C9628E"/>
    <w:rsid w:val="11D009AA"/>
    <w:rsid w:val="11D60973"/>
    <w:rsid w:val="11E51D7E"/>
    <w:rsid w:val="120073C3"/>
    <w:rsid w:val="12101339"/>
    <w:rsid w:val="126E7B49"/>
    <w:rsid w:val="128D6BDE"/>
    <w:rsid w:val="12AB3074"/>
    <w:rsid w:val="131D7A38"/>
    <w:rsid w:val="1329698B"/>
    <w:rsid w:val="132D1C29"/>
    <w:rsid w:val="133839C4"/>
    <w:rsid w:val="133C6344"/>
    <w:rsid w:val="135457AC"/>
    <w:rsid w:val="1361081C"/>
    <w:rsid w:val="136A4FF8"/>
    <w:rsid w:val="13A21551"/>
    <w:rsid w:val="13B1149A"/>
    <w:rsid w:val="13EA784F"/>
    <w:rsid w:val="13F9714A"/>
    <w:rsid w:val="144058D5"/>
    <w:rsid w:val="1445757F"/>
    <w:rsid w:val="146E696E"/>
    <w:rsid w:val="147E02D6"/>
    <w:rsid w:val="14822C82"/>
    <w:rsid w:val="149A4881"/>
    <w:rsid w:val="14AD56BC"/>
    <w:rsid w:val="14E16DC7"/>
    <w:rsid w:val="14EB671F"/>
    <w:rsid w:val="14F06C71"/>
    <w:rsid w:val="14F44D0D"/>
    <w:rsid w:val="15064F35"/>
    <w:rsid w:val="1552108A"/>
    <w:rsid w:val="15C9350E"/>
    <w:rsid w:val="15CC4853"/>
    <w:rsid w:val="16143A55"/>
    <w:rsid w:val="164F4715"/>
    <w:rsid w:val="16C05D1F"/>
    <w:rsid w:val="16CA0633"/>
    <w:rsid w:val="16E00056"/>
    <w:rsid w:val="176A5B62"/>
    <w:rsid w:val="17823DF0"/>
    <w:rsid w:val="17E41414"/>
    <w:rsid w:val="17F84696"/>
    <w:rsid w:val="180B489D"/>
    <w:rsid w:val="18196215"/>
    <w:rsid w:val="18A06F45"/>
    <w:rsid w:val="18AC2583"/>
    <w:rsid w:val="18C33D4E"/>
    <w:rsid w:val="18DB4A0D"/>
    <w:rsid w:val="18E5302B"/>
    <w:rsid w:val="18EB1317"/>
    <w:rsid w:val="18F24694"/>
    <w:rsid w:val="192D264C"/>
    <w:rsid w:val="197F4238"/>
    <w:rsid w:val="19B50CD2"/>
    <w:rsid w:val="19E66653"/>
    <w:rsid w:val="19F14B5B"/>
    <w:rsid w:val="1A112BD8"/>
    <w:rsid w:val="1A1254D5"/>
    <w:rsid w:val="1A257231"/>
    <w:rsid w:val="1A3922FE"/>
    <w:rsid w:val="1A476A74"/>
    <w:rsid w:val="1A5E4FDE"/>
    <w:rsid w:val="1A647C61"/>
    <w:rsid w:val="1AA029D6"/>
    <w:rsid w:val="1AB97ABD"/>
    <w:rsid w:val="1ABE48E9"/>
    <w:rsid w:val="1AC46994"/>
    <w:rsid w:val="1ACB554F"/>
    <w:rsid w:val="1AE80EEC"/>
    <w:rsid w:val="1B1624F5"/>
    <w:rsid w:val="1B3139D8"/>
    <w:rsid w:val="1B654B47"/>
    <w:rsid w:val="1B8C696F"/>
    <w:rsid w:val="1BAE5D75"/>
    <w:rsid w:val="1BB30D32"/>
    <w:rsid w:val="1BD44427"/>
    <w:rsid w:val="1C031649"/>
    <w:rsid w:val="1C0345CE"/>
    <w:rsid w:val="1C1D34FC"/>
    <w:rsid w:val="1C4B6079"/>
    <w:rsid w:val="1C6C39B2"/>
    <w:rsid w:val="1C89101E"/>
    <w:rsid w:val="1C8B4C49"/>
    <w:rsid w:val="1C947952"/>
    <w:rsid w:val="1CA63CC7"/>
    <w:rsid w:val="1CD736E5"/>
    <w:rsid w:val="1D4064C9"/>
    <w:rsid w:val="1D642418"/>
    <w:rsid w:val="1D7804CE"/>
    <w:rsid w:val="1D804708"/>
    <w:rsid w:val="1DA36EC0"/>
    <w:rsid w:val="1DB20D48"/>
    <w:rsid w:val="1DD513DF"/>
    <w:rsid w:val="1DF2415E"/>
    <w:rsid w:val="1E0B2EF8"/>
    <w:rsid w:val="1E195697"/>
    <w:rsid w:val="1E1B18E1"/>
    <w:rsid w:val="1E1B5A2B"/>
    <w:rsid w:val="1E1C0B5D"/>
    <w:rsid w:val="1E270DFB"/>
    <w:rsid w:val="1E3F7905"/>
    <w:rsid w:val="1E465D75"/>
    <w:rsid w:val="1E4C6927"/>
    <w:rsid w:val="1E4E41D6"/>
    <w:rsid w:val="1E644A4A"/>
    <w:rsid w:val="1E825C77"/>
    <w:rsid w:val="1EB72C83"/>
    <w:rsid w:val="1EBB5677"/>
    <w:rsid w:val="1EEF2BEE"/>
    <w:rsid w:val="1F051858"/>
    <w:rsid w:val="1F076B1F"/>
    <w:rsid w:val="1F1C64B4"/>
    <w:rsid w:val="1F1F1958"/>
    <w:rsid w:val="1F3C70E7"/>
    <w:rsid w:val="1F49036A"/>
    <w:rsid w:val="1F6075F4"/>
    <w:rsid w:val="1F9C7B08"/>
    <w:rsid w:val="1FC8358C"/>
    <w:rsid w:val="1FD015CE"/>
    <w:rsid w:val="1FED27E1"/>
    <w:rsid w:val="20065122"/>
    <w:rsid w:val="203C1ABC"/>
    <w:rsid w:val="20554945"/>
    <w:rsid w:val="20721C36"/>
    <w:rsid w:val="2092527F"/>
    <w:rsid w:val="20941FAF"/>
    <w:rsid w:val="20AD290D"/>
    <w:rsid w:val="20B37FE3"/>
    <w:rsid w:val="20EB65D5"/>
    <w:rsid w:val="21001FF8"/>
    <w:rsid w:val="210A1B1F"/>
    <w:rsid w:val="21165482"/>
    <w:rsid w:val="212055EA"/>
    <w:rsid w:val="212A2D31"/>
    <w:rsid w:val="21587179"/>
    <w:rsid w:val="21841B5D"/>
    <w:rsid w:val="219D1490"/>
    <w:rsid w:val="21BB66A2"/>
    <w:rsid w:val="21C13218"/>
    <w:rsid w:val="21C250AD"/>
    <w:rsid w:val="21CE137C"/>
    <w:rsid w:val="21DB7423"/>
    <w:rsid w:val="220866FD"/>
    <w:rsid w:val="22392A0A"/>
    <w:rsid w:val="2245179C"/>
    <w:rsid w:val="22A573A5"/>
    <w:rsid w:val="22AC25C8"/>
    <w:rsid w:val="22C51706"/>
    <w:rsid w:val="22E04748"/>
    <w:rsid w:val="22F8449D"/>
    <w:rsid w:val="22FA504D"/>
    <w:rsid w:val="2300256D"/>
    <w:rsid w:val="23130E2D"/>
    <w:rsid w:val="23386659"/>
    <w:rsid w:val="23912EA2"/>
    <w:rsid w:val="23A137E1"/>
    <w:rsid w:val="23DF4C55"/>
    <w:rsid w:val="23FA00D0"/>
    <w:rsid w:val="24040F1A"/>
    <w:rsid w:val="24123052"/>
    <w:rsid w:val="241853A5"/>
    <w:rsid w:val="24431B72"/>
    <w:rsid w:val="2458711E"/>
    <w:rsid w:val="245D3197"/>
    <w:rsid w:val="246473EC"/>
    <w:rsid w:val="24726B87"/>
    <w:rsid w:val="24740C6D"/>
    <w:rsid w:val="24D42AB1"/>
    <w:rsid w:val="24D67881"/>
    <w:rsid w:val="25136C3F"/>
    <w:rsid w:val="254622B0"/>
    <w:rsid w:val="254747CF"/>
    <w:rsid w:val="256E5F4E"/>
    <w:rsid w:val="25877771"/>
    <w:rsid w:val="25BE4DD7"/>
    <w:rsid w:val="25C11594"/>
    <w:rsid w:val="25C13927"/>
    <w:rsid w:val="25E95193"/>
    <w:rsid w:val="260F2F49"/>
    <w:rsid w:val="2611375C"/>
    <w:rsid w:val="261D771E"/>
    <w:rsid w:val="262D6EE9"/>
    <w:rsid w:val="266419B4"/>
    <w:rsid w:val="269D0423"/>
    <w:rsid w:val="26ED1C97"/>
    <w:rsid w:val="27206B65"/>
    <w:rsid w:val="274362A8"/>
    <w:rsid w:val="27443D56"/>
    <w:rsid w:val="27741FDA"/>
    <w:rsid w:val="277B23DA"/>
    <w:rsid w:val="27800131"/>
    <w:rsid w:val="279C03C2"/>
    <w:rsid w:val="279D5795"/>
    <w:rsid w:val="27B257CC"/>
    <w:rsid w:val="27CF548C"/>
    <w:rsid w:val="282E0B16"/>
    <w:rsid w:val="286B4C95"/>
    <w:rsid w:val="287140E6"/>
    <w:rsid w:val="28DC3CC6"/>
    <w:rsid w:val="28F45226"/>
    <w:rsid w:val="28F709DE"/>
    <w:rsid w:val="28FB2470"/>
    <w:rsid w:val="29074193"/>
    <w:rsid w:val="29177CA1"/>
    <w:rsid w:val="29524FE9"/>
    <w:rsid w:val="29807530"/>
    <w:rsid w:val="29846F04"/>
    <w:rsid w:val="29AD462C"/>
    <w:rsid w:val="29CF58E0"/>
    <w:rsid w:val="29FF641E"/>
    <w:rsid w:val="2A172449"/>
    <w:rsid w:val="2A750DC5"/>
    <w:rsid w:val="2A8A7B7A"/>
    <w:rsid w:val="2A9E43E7"/>
    <w:rsid w:val="2AC822F7"/>
    <w:rsid w:val="2ACC5649"/>
    <w:rsid w:val="2ADD0378"/>
    <w:rsid w:val="2AEE2373"/>
    <w:rsid w:val="2B18152F"/>
    <w:rsid w:val="2B346E2F"/>
    <w:rsid w:val="2B3D24D5"/>
    <w:rsid w:val="2B5C23B5"/>
    <w:rsid w:val="2BA27E49"/>
    <w:rsid w:val="2BBA7709"/>
    <w:rsid w:val="2BBF6C95"/>
    <w:rsid w:val="2BF158F3"/>
    <w:rsid w:val="2BF2001D"/>
    <w:rsid w:val="2BF9459B"/>
    <w:rsid w:val="2C054F4B"/>
    <w:rsid w:val="2C07042E"/>
    <w:rsid w:val="2C1274FD"/>
    <w:rsid w:val="2C2968A7"/>
    <w:rsid w:val="2C2A3946"/>
    <w:rsid w:val="2C4B1116"/>
    <w:rsid w:val="2C4F403C"/>
    <w:rsid w:val="2C690F02"/>
    <w:rsid w:val="2C6D3AF5"/>
    <w:rsid w:val="2CAF401E"/>
    <w:rsid w:val="2CC36C0D"/>
    <w:rsid w:val="2D3F4F65"/>
    <w:rsid w:val="2D765176"/>
    <w:rsid w:val="2D774FDB"/>
    <w:rsid w:val="2D8B04E5"/>
    <w:rsid w:val="2D9B6547"/>
    <w:rsid w:val="2DC216F6"/>
    <w:rsid w:val="2DF23229"/>
    <w:rsid w:val="2E18488D"/>
    <w:rsid w:val="2E192A3F"/>
    <w:rsid w:val="2E3825FA"/>
    <w:rsid w:val="2E392437"/>
    <w:rsid w:val="2E3C4FFB"/>
    <w:rsid w:val="2E81331F"/>
    <w:rsid w:val="2E986653"/>
    <w:rsid w:val="2E9D13DA"/>
    <w:rsid w:val="2ECD3AA4"/>
    <w:rsid w:val="2EE3403A"/>
    <w:rsid w:val="2EF41DE8"/>
    <w:rsid w:val="2F087B62"/>
    <w:rsid w:val="2F146F2E"/>
    <w:rsid w:val="2F297142"/>
    <w:rsid w:val="2F2C6115"/>
    <w:rsid w:val="2F4C0A30"/>
    <w:rsid w:val="2F6E0D97"/>
    <w:rsid w:val="2F7B5170"/>
    <w:rsid w:val="2F892288"/>
    <w:rsid w:val="2FBB2C4D"/>
    <w:rsid w:val="300306D2"/>
    <w:rsid w:val="303C4793"/>
    <w:rsid w:val="304A6820"/>
    <w:rsid w:val="306C2A37"/>
    <w:rsid w:val="30AA6C38"/>
    <w:rsid w:val="31012344"/>
    <w:rsid w:val="31167043"/>
    <w:rsid w:val="31277A79"/>
    <w:rsid w:val="3188686D"/>
    <w:rsid w:val="31CC0DC3"/>
    <w:rsid w:val="31E6360E"/>
    <w:rsid w:val="32537D9E"/>
    <w:rsid w:val="32601950"/>
    <w:rsid w:val="329403DD"/>
    <w:rsid w:val="3294376A"/>
    <w:rsid w:val="32967C9A"/>
    <w:rsid w:val="32AD1A6E"/>
    <w:rsid w:val="334214A0"/>
    <w:rsid w:val="33946625"/>
    <w:rsid w:val="33BF6530"/>
    <w:rsid w:val="33D95B7A"/>
    <w:rsid w:val="33E92063"/>
    <w:rsid w:val="340A311A"/>
    <w:rsid w:val="341C22D4"/>
    <w:rsid w:val="34314E97"/>
    <w:rsid w:val="34427038"/>
    <w:rsid w:val="3450166F"/>
    <w:rsid w:val="34560189"/>
    <w:rsid w:val="3482710C"/>
    <w:rsid w:val="34AC1C40"/>
    <w:rsid w:val="34EE1FCF"/>
    <w:rsid w:val="34F212BC"/>
    <w:rsid w:val="35111BA1"/>
    <w:rsid w:val="353C3218"/>
    <w:rsid w:val="354468BA"/>
    <w:rsid w:val="355B06C5"/>
    <w:rsid w:val="35873A0D"/>
    <w:rsid w:val="35AD7D53"/>
    <w:rsid w:val="35B52640"/>
    <w:rsid w:val="35D03412"/>
    <w:rsid w:val="35D0646E"/>
    <w:rsid w:val="35D67F36"/>
    <w:rsid w:val="35E43AB4"/>
    <w:rsid w:val="362F5A86"/>
    <w:rsid w:val="364854F0"/>
    <w:rsid w:val="36604382"/>
    <w:rsid w:val="366A1B4A"/>
    <w:rsid w:val="367B30DF"/>
    <w:rsid w:val="367B6485"/>
    <w:rsid w:val="36CB752D"/>
    <w:rsid w:val="36CF56C0"/>
    <w:rsid w:val="36E01828"/>
    <w:rsid w:val="36FD7F67"/>
    <w:rsid w:val="372B4249"/>
    <w:rsid w:val="372B57F8"/>
    <w:rsid w:val="373960AC"/>
    <w:rsid w:val="37430343"/>
    <w:rsid w:val="376356B2"/>
    <w:rsid w:val="376D327B"/>
    <w:rsid w:val="377A5F98"/>
    <w:rsid w:val="37863DE5"/>
    <w:rsid w:val="37CD5ACC"/>
    <w:rsid w:val="37E04D1A"/>
    <w:rsid w:val="37FB536A"/>
    <w:rsid w:val="381D0F0B"/>
    <w:rsid w:val="384E1CAD"/>
    <w:rsid w:val="386B7A86"/>
    <w:rsid w:val="38A522D8"/>
    <w:rsid w:val="38CE7165"/>
    <w:rsid w:val="38E77F52"/>
    <w:rsid w:val="39066024"/>
    <w:rsid w:val="3910035B"/>
    <w:rsid w:val="392C387C"/>
    <w:rsid w:val="394161A6"/>
    <w:rsid w:val="395E71DB"/>
    <w:rsid w:val="398E0C82"/>
    <w:rsid w:val="399C0FE0"/>
    <w:rsid w:val="399E0F70"/>
    <w:rsid w:val="39AB7B15"/>
    <w:rsid w:val="39B41810"/>
    <w:rsid w:val="39DA1948"/>
    <w:rsid w:val="3A027810"/>
    <w:rsid w:val="3A0C47EF"/>
    <w:rsid w:val="3A0E070D"/>
    <w:rsid w:val="3A567445"/>
    <w:rsid w:val="3A5B425D"/>
    <w:rsid w:val="3A5F5FD4"/>
    <w:rsid w:val="3A6C0AC3"/>
    <w:rsid w:val="3A921B71"/>
    <w:rsid w:val="3AB956CA"/>
    <w:rsid w:val="3ACE6823"/>
    <w:rsid w:val="3AE36B3B"/>
    <w:rsid w:val="3AFE5F40"/>
    <w:rsid w:val="3B086A10"/>
    <w:rsid w:val="3B1766B2"/>
    <w:rsid w:val="3B291A95"/>
    <w:rsid w:val="3B646AAB"/>
    <w:rsid w:val="3B7A3E84"/>
    <w:rsid w:val="3B937FEC"/>
    <w:rsid w:val="3BA749A7"/>
    <w:rsid w:val="3BC537CC"/>
    <w:rsid w:val="3BFA2F13"/>
    <w:rsid w:val="3C1D0DE1"/>
    <w:rsid w:val="3C232557"/>
    <w:rsid w:val="3C3F5220"/>
    <w:rsid w:val="3C633BF6"/>
    <w:rsid w:val="3C7B4FE8"/>
    <w:rsid w:val="3C935EAB"/>
    <w:rsid w:val="3CC127F6"/>
    <w:rsid w:val="3CC668DF"/>
    <w:rsid w:val="3CF345C3"/>
    <w:rsid w:val="3D065FA6"/>
    <w:rsid w:val="3D0C284F"/>
    <w:rsid w:val="3D1C542E"/>
    <w:rsid w:val="3D38111C"/>
    <w:rsid w:val="3D3D00A0"/>
    <w:rsid w:val="3D3D699D"/>
    <w:rsid w:val="3D82080B"/>
    <w:rsid w:val="3D832232"/>
    <w:rsid w:val="3D95033C"/>
    <w:rsid w:val="3DB27F76"/>
    <w:rsid w:val="3DB82283"/>
    <w:rsid w:val="3DC8591C"/>
    <w:rsid w:val="3DDB46C7"/>
    <w:rsid w:val="3DE370B1"/>
    <w:rsid w:val="3E2E0722"/>
    <w:rsid w:val="3E5A4E73"/>
    <w:rsid w:val="3EA75E67"/>
    <w:rsid w:val="3F2A5D52"/>
    <w:rsid w:val="3F3A6811"/>
    <w:rsid w:val="3F73374A"/>
    <w:rsid w:val="3F83348C"/>
    <w:rsid w:val="3F8F36CA"/>
    <w:rsid w:val="3F9313D6"/>
    <w:rsid w:val="3FA649E2"/>
    <w:rsid w:val="3FBE3337"/>
    <w:rsid w:val="3FD801DC"/>
    <w:rsid w:val="3FEA7677"/>
    <w:rsid w:val="403762C6"/>
    <w:rsid w:val="404E14A9"/>
    <w:rsid w:val="41322240"/>
    <w:rsid w:val="41693A42"/>
    <w:rsid w:val="418C359E"/>
    <w:rsid w:val="41934ECF"/>
    <w:rsid w:val="419D2DA2"/>
    <w:rsid w:val="419F0D4E"/>
    <w:rsid w:val="41A91EBC"/>
    <w:rsid w:val="41B466CB"/>
    <w:rsid w:val="41BE11E4"/>
    <w:rsid w:val="41C00103"/>
    <w:rsid w:val="41FC6DE4"/>
    <w:rsid w:val="42662124"/>
    <w:rsid w:val="42744F96"/>
    <w:rsid w:val="429E45B2"/>
    <w:rsid w:val="42A571A6"/>
    <w:rsid w:val="42EC32C5"/>
    <w:rsid w:val="434446F4"/>
    <w:rsid w:val="43454446"/>
    <w:rsid w:val="434667FF"/>
    <w:rsid w:val="43576D52"/>
    <w:rsid w:val="43711AB8"/>
    <w:rsid w:val="43A72BB8"/>
    <w:rsid w:val="43AC1A2E"/>
    <w:rsid w:val="43C312B6"/>
    <w:rsid w:val="43E9290C"/>
    <w:rsid w:val="442C1BFA"/>
    <w:rsid w:val="443B5854"/>
    <w:rsid w:val="447C239B"/>
    <w:rsid w:val="44821928"/>
    <w:rsid w:val="44B37C58"/>
    <w:rsid w:val="4502533A"/>
    <w:rsid w:val="45113B13"/>
    <w:rsid w:val="456B4402"/>
    <w:rsid w:val="45BD67E2"/>
    <w:rsid w:val="45D3660A"/>
    <w:rsid w:val="46267BF5"/>
    <w:rsid w:val="465B0716"/>
    <w:rsid w:val="465E2E2F"/>
    <w:rsid w:val="467A5134"/>
    <w:rsid w:val="469C4E45"/>
    <w:rsid w:val="46FE0C6F"/>
    <w:rsid w:val="471B1A77"/>
    <w:rsid w:val="4766066D"/>
    <w:rsid w:val="478D08F1"/>
    <w:rsid w:val="4798275A"/>
    <w:rsid w:val="479F58A0"/>
    <w:rsid w:val="47AF1564"/>
    <w:rsid w:val="482E68CF"/>
    <w:rsid w:val="48377B4B"/>
    <w:rsid w:val="48581258"/>
    <w:rsid w:val="48854E4C"/>
    <w:rsid w:val="4892471A"/>
    <w:rsid w:val="48C32903"/>
    <w:rsid w:val="48DD07D5"/>
    <w:rsid w:val="48E77314"/>
    <w:rsid w:val="491B21AB"/>
    <w:rsid w:val="49634533"/>
    <w:rsid w:val="49CC3D06"/>
    <w:rsid w:val="49DC595D"/>
    <w:rsid w:val="4A06539E"/>
    <w:rsid w:val="4A241FDB"/>
    <w:rsid w:val="4A341C73"/>
    <w:rsid w:val="4A4472FA"/>
    <w:rsid w:val="4A790C7B"/>
    <w:rsid w:val="4A96612D"/>
    <w:rsid w:val="4AC33802"/>
    <w:rsid w:val="4ACA3DB8"/>
    <w:rsid w:val="4ACC6F54"/>
    <w:rsid w:val="4ADC05BC"/>
    <w:rsid w:val="4AE37297"/>
    <w:rsid w:val="4AFF6334"/>
    <w:rsid w:val="4B1C7782"/>
    <w:rsid w:val="4B292054"/>
    <w:rsid w:val="4B662697"/>
    <w:rsid w:val="4B8B74B8"/>
    <w:rsid w:val="4BC929F5"/>
    <w:rsid w:val="4BD73C33"/>
    <w:rsid w:val="4BF43365"/>
    <w:rsid w:val="4BF442EF"/>
    <w:rsid w:val="4C180BEF"/>
    <w:rsid w:val="4C1C7789"/>
    <w:rsid w:val="4C24462D"/>
    <w:rsid w:val="4C3E72E3"/>
    <w:rsid w:val="4C474B7D"/>
    <w:rsid w:val="4C4D2A14"/>
    <w:rsid w:val="4CD61D5A"/>
    <w:rsid w:val="4D4A0675"/>
    <w:rsid w:val="4D7D2AD2"/>
    <w:rsid w:val="4D8A74DC"/>
    <w:rsid w:val="4D8D7529"/>
    <w:rsid w:val="4DB55808"/>
    <w:rsid w:val="4DFC5E44"/>
    <w:rsid w:val="4E2E7799"/>
    <w:rsid w:val="4E371050"/>
    <w:rsid w:val="4E4061BA"/>
    <w:rsid w:val="4E8A38BA"/>
    <w:rsid w:val="4EB00942"/>
    <w:rsid w:val="4EB56FB9"/>
    <w:rsid w:val="4EC05905"/>
    <w:rsid w:val="4F005B01"/>
    <w:rsid w:val="4F0A3A97"/>
    <w:rsid w:val="4F1C66D7"/>
    <w:rsid w:val="4F3645A7"/>
    <w:rsid w:val="4F3F52C2"/>
    <w:rsid w:val="4F61630A"/>
    <w:rsid w:val="4FA81E8F"/>
    <w:rsid w:val="4FAF7988"/>
    <w:rsid w:val="4FB2198C"/>
    <w:rsid w:val="500B0F07"/>
    <w:rsid w:val="5026160F"/>
    <w:rsid w:val="50275A5C"/>
    <w:rsid w:val="502B7597"/>
    <w:rsid w:val="5041425B"/>
    <w:rsid w:val="5054757A"/>
    <w:rsid w:val="507E12DA"/>
    <w:rsid w:val="50AD47F5"/>
    <w:rsid w:val="50BE0AD1"/>
    <w:rsid w:val="50BE2E4D"/>
    <w:rsid w:val="50C1758F"/>
    <w:rsid w:val="515B0B23"/>
    <w:rsid w:val="51664071"/>
    <w:rsid w:val="518E77F4"/>
    <w:rsid w:val="51AE4D7D"/>
    <w:rsid w:val="51D5253F"/>
    <w:rsid w:val="51F33A62"/>
    <w:rsid w:val="51FF300F"/>
    <w:rsid w:val="52006888"/>
    <w:rsid w:val="520F3323"/>
    <w:rsid w:val="5216632D"/>
    <w:rsid w:val="525C0312"/>
    <w:rsid w:val="525E0CE4"/>
    <w:rsid w:val="52822AD7"/>
    <w:rsid w:val="528B1B86"/>
    <w:rsid w:val="52A56914"/>
    <w:rsid w:val="52AF10B4"/>
    <w:rsid w:val="52FB0401"/>
    <w:rsid w:val="530B2727"/>
    <w:rsid w:val="531D6FF3"/>
    <w:rsid w:val="532D6F59"/>
    <w:rsid w:val="53325EB6"/>
    <w:rsid w:val="53467153"/>
    <w:rsid w:val="5376196A"/>
    <w:rsid w:val="53766D14"/>
    <w:rsid w:val="537B3E37"/>
    <w:rsid w:val="53B859DC"/>
    <w:rsid w:val="53BA3B93"/>
    <w:rsid w:val="53E45E80"/>
    <w:rsid w:val="53EB1346"/>
    <w:rsid w:val="540066AC"/>
    <w:rsid w:val="5406375C"/>
    <w:rsid w:val="54107C02"/>
    <w:rsid w:val="546245D9"/>
    <w:rsid w:val="54647D91"/>
    <w:rsid w:val="54700D1A"/>
    <w:rsid w:val="54BF14A3"/>
    <w:rsid w:val="551218F7"/>
    <w:rsid w:val="551A155C"/>
    <w:rsid w:val="552A20EC"/>
    <w:rsid w:val="55352F16"/>
    <w:rsid w:val="554905AA"/>
    <w:rsid w:val="55532E21"/>
    <w:rsid w:val="555A49EA"/>
    <w:rsid w:val="559B13B8"/>
    <w:rsid w:val="55BC0FEE"/>
    <w:rsid w:val="55C02B74"/>
    <w:rsid w:val="55DA79CD"/>
    <w:rsid w:val="55DD75A8"/>
    <w:rsid w:val="55DE1112"/>
    <w:rsid w:val="560D5C8B"/>
    <w:rsid w:val="56B246AF"/>
    <w:rsid w:val="56DD6C4B"/>
    <w:rsid w:val="56F65AFD"/>
    <w:rsid w:val="577C6913"/>
    <w:rsid w:val="579A3F0E"/>
    <w:rsid w:val="57AA23B1"/>
    <w:rsid w:val="57AA76B9"/>
    <w:rsid w:val="57AC0D18"/>
    <w:rsid w:val="57BE335E"/>
    <w:rsid w:val="57C500EE"/>
    <w:rsid w:val="57E63B5F"/>
    <w:rsid w:val="581C06EE"/>
    <w:rsid w:val="58236170"/>
    <w:rsid w:val="584645F5"/>
    <w:rsid w:val="586E58B7"/>
    <w:rsid w:val="589661FD"/>
    <w:rsid w:val="58AA2D42"/>
    <w:rsid w:val="58C93E53"/>
    <w:rsid w:val="59132F76"/>
    <w:rsid w:val="591A3A4A"/>
    <w:rsid w:val="595C1736"/>
    <w:rsid w:val="598657D5"/>
    <w:rsid w:val="59C5491F"/>
    <w:rsid w:val="59D34D3C"/>
    <w:rsid w:val="59EF4524"/>
    <w:rsid w:val="5A036CEA"/>
    <w:rsid w:val="5A071A8F"/>
    <w:rsid w:val="5A281766"/>
    <w:rsid w:val="5A2F6041"/>
    <w:rsid w:val="5A307667"/>
    <w:rsid w:val="5A4817F0"/>
    <w:rsid w:val="5A4E3699"/>
    <w:rsid w:val="5A5E33DE"/>
    <w:rsid w:val="5A894AD6"/>
    <w:rsid w:val="5AA714F1"/>
    <w:rsid w:val="5AAA6BB9"/>
    <w:rsid w:val="5AB62AC0"/>
    <w:rsid w:val="5AB66072"/>
    <w:rsid w:val="5AD6108E"/>
    <w:rsid w:val="5B136684"/>
    <w:rsid w:val="5B5979AE"/>
    <w:rsid w:val="5B671D41"/>
    <w:rsid w:val="5B8F20A8"/>
    <w:rsid w:val="5B9050C5"/>
    <w:rsid w:val="5B96579F"/>
    <w:rsid w:val="5B9E0C2C"/>
    <w:rsid w:val="5BA77AAD"/>
    <w:rsid w:val="5BC04CAB"/>
    <w:rsid w:val="5BDD1E32"/>
    <w:rsid w:val="5BDD4118"/>
    <w:rsid w:val="5BE82ABB"/>
    <w:rsid w:val="5C0E21B7"/>
    <w:rsid w:val="5C517A51"/>
    <w:rsid w:val="5C6B6D03"/>
    <w:rsid w:val="5CBC3EE4"/>
    <w:rsid w:val="5CE3698C"/>
    <w:rsid w:val="5D3752AC"/>
    <w:rsid w:val="5D466F9A"/>
    <w:rsid w:val="5D7509B1"/>
    <w:rsid w:val="5D822C18"/>
    <w:rsid w:val="5D96663A"/>
    <w:rsid w:val="5D9C1200"/>
    <w:rsid w:val="5E0474FF"/>
    <w:rsid w:val="5E255883"/>
    <w:rsid w:val="5E606585"/>
    <w:rsid w:val="5E7E0741"/>
    <w:rsid w:val="5E9E5D74"/>
    <w:rsid w:val="5EB20D16"/>
    <w:rsid w:val="5EBC41C7"/>
    <w:rsid w:val="5ED97E1B"/>
    <w:rsid w:val="5EDC5ADB"/>
    <w:rsid w:val="5F2A31F7"/>
    <w:rsid w:val="5F640B6F"/>
    <w:rsid w:val="5F767A5F"/>
    <w:rsid w:val="5F85585F"/>
    <w:rsid w:val="5F8C0D28"/>
    <w:rsid w:val="5F9F0E7E"/>
    <w:rsid w:val="5FA3214D"/>
    <w:rsid w:val="5FF64AB1"/>
    <w:rsid w:val="60011F73"/>
    <w:rsid w:val="60157254"/>
    <w:rsid w:val="60166331"/>
    <w:rsid w:val="60260D44"/>
    <w:rsid w:val="60A24279"/>
    <w:rsid w:val="610A157A"/>
    <w:rsid w:val="618F6398"/>
    <w:rsid w:val="61A871C0"/>
    <w:rsid w:val="61AD4FB7"/>
    <w:rsid w:val="61B12B6F"/>
    <w:rsid w:val="61BD68A4"/>
    <w:rsid w:val="61BD6F7A"/>
    <w:rsid w:val="61DB2DC7"/>
    <w:rsid w:val="61DC04DF"/>
    <w:rsid w:val="61F4793E"/>
    <w:rsid w:val="62060528"/>
    <w:rsid w:val="620E7D25"/>
    <w:rsid w:val="62786AB6"/>
    <w:rsid w:val="629E3C6B"/>
    <w:rsid w:val="62A37172"/>
    <w:rsid w:val="62AE019C"/>
    <w:rsid w:val="62DD3173"/>
    <w:rsid w:val="62EE2903"/>
    <w:rsid w:val="632A515E"/>
    <w:rsid w:val="633E4E93"/>
    <w:rsid w:val="63466975"/>
    <w:rsid w:val="637522CF"/>
    <w:rsid w:val="637D2F18"/>
    <w:rsid w:val="639C56A1"/>
    <w:rsid w:val="63F378D5"/>
    <w:rsid w:val="642045FA"/>
    <w:rsid w:val="64210727"/>
    <w:rsid w:val="6423496B"/>
    <w:rsid w:val="642414AF"/>
    <w:rsid w:val="64273049"/>
    <w:rsid w:val="64500A6B"/>
    <w:rsid w:val="64522E92"/>
    <w:rsid w:val="647510FF"/>
    <w:rsid w:val="64774BFA"/>
    <w:rsid w:val="64824D5C"/>
    <w:rsid w:val="648A146D"/>
    <w:rsid w:val="64957926"/>
    <w:rsid w:val="64B929DF"/>
    <w:rsid w:val="64BA3B39"/>
    <w:rsid w:val="64FD706D"/>
    <w:rsid w:val="651072F0"/>
    <w:rsid w:val="6512725F"/>
    <w:rsid w:val="653C0197"/>
    <w:rsid w:val="654168BA"/>
    <w:rsid w:val="65643FC3"/>
    <w:rsid w:val="657C29BD"/>
    <w:rsid w:val="65863CEE"/>
    <w:rsid w:val="65986469"/>
    <w:rsid w:val="65A45E9A"/>
    <w:rsid w:val="65C51F3A"/>
    <w:rsid w:val="65F1767A"/>
    <w:rsid w:val="65F45390"/>
    <w:rsid w:val="6602233B"/>
    <w:rsid w:val="66065C17"/>
    <w:rsid w:val="6654038B"/>
    <w:rsid w:val="66AA4765"/>
    <w:rsid w:val="66E21591"/>
    <w:rsid w:val="66F0132D"/>
    <w:rsid w:val="6725580F"/>
    <w:rsid w:val="675030E7"/>
    <w:rsid w:val="675F6A58"/>
    <w:rsid w:val="67604159"/>
    <w:rsid w:val="676239F7"/>
    <w:rsid w:val="676551A4"/>
    <w:rsid w:val="67712376"/>
    <w:rsid w:val="67814926"/>
    <w:rsid w:val="6783630B"/>
    <w:rsid w:val="67902161"/>
    <w:rsid w:val="67A755DD"/>
    <w:rsid w:val="67BA19C9"/>
    <w:rsid w:val="67EA005E"/>
    <w:rsid w:val="67FA0031"/>
    <w:rsid w:val="68134360"/>
    <w:rsid w:val="68341BB8"/>
    <w:rsid w:val="684429BE"/>
    <w:rsid w:val="68476100"/>
    <w:rsid w:val="6854233B"/>
    <w:rsid w:val="6854595F"/>
    <w:rsid w:val="685663C9"/>
    <w:rsid w:val="685C2517"/>
    <w:rsid w:val="686C4875"/>
    <w:rsid w:val="68911A2A"/>
    <w:rsid w:val="68C87B80"/>
    <w:rsid w:val="68E00467"/>
    <w:rsid w:val="69706187"/>
    <w:rsid w:val="69766254"/>
    <w:rsid w:val="69A24AF3"/>
    <w:rsid w:val="69A613D8"/>
    <w:rsid w:val="69A970A2"/>
    <w:rsid w:val="6A23321D"/>
    <w:rsid w:val="6A350429"/>
    <w:rsid w:val="6A4F5DE6"/>
    <w:rsid w:val="6A662403"/>
    <w:rsid w:val="6A6D6BE8"/>
    <w:rsid w:val="6A6E43AD"/>
    <w:rsid w:val="6AE40CC2"/>
    <w:rsid w:val="6AFA4B2A"/>
    <w:rsid w:val="6B384ABF"/>
    <w:rsid w:val="6B3A6D77"/>
    <w:rsid w:val="6B6E175C"/>
    <w:rsid w:val="6B79274E"/>
    <w:rsid w:val="6BBD3B5D"/>
    <w:rsid w:val="6BD10D99"/>
    <w:rsid w:val="6BF33331"/>
    <w:rsid w:val="6C05065D"/>
    <w:rsid w:val="6C2B1B02"/>
    <w:rsid w:val="6C2C6FAA"/>
    <w:rsid w:val="6C2C7163"/>
    <w:rsid w:val="6C723A5F"/>
    <w:rsid w:val="6C7E1675"/>
    <w:rsid w:val="6C933F18"/>
    <w:rsid w:val="6C97174C"/>
    <w:rsid w:val="6CCE6EC2"/>
    <w:rsid w:val="6D0A6137"/>
    <w:rsid w:val="6D1E09F4"/>
    <w:rsid w:val="6D230A3C"/>
    <w:rsid w:val="6D251B23"/>
    <w:rsid w:val="6D692C5D"/>
    <w:rsid w:val="6D6F2E30"/>
    <w:rsid w:val="6D7A7A6A"/>
    <w:rsid w:val="6D8E11ED"/>
    <w:rsid w:val="6D976B32"/>
    <w:rsid w:val="6DBE4C9E"/>
    <w:rsid w:val="6DEE772E"/>
    <w:rsid w:val="6E2B7E7D"/>
    <w:rsid w:val="6E4979ED"/>
    <w:rsid w:val="6E517904"/>
    <w:rsid w:val="6E52710D"/>
    <w:rsid w:val="6E6A6917"/>
    <w:rsid w:val="6E8353D9"/>
    <w:rsid w:val="6E867373"/>
    <w:rsid w:val="6E902E5A"/>
    <w:rsid w:val="6E9C5487"/>
    <w:rsid w:val="6EB54E16"/>
    <w:rsid w:val="6EC45776"/>
    <w:rsid w:val="6ED35AA7"/>
    <w:rsid w:val="6F0779FC"/>
    <w:rsid w:val="6F476CF4"/>
    <w:rsid w:val="6F4C6834"/>
    <w:rsid w:val="6F513488"/>
    <w:rsid w:val="6F6F2137"/>
    <w:rsid w:val="6F7D6421"/>
    <w:rsid w:val="6F993E51"/>
    <w:rsid w:val="6FBB07A0"/>
    <w:rsid w:val="6FBD3D5F"/>
    <w:rsid w:val="6FC61483"/>
    <w:rsid w:val="7001003F"/>
    <w:rsid w:val="704E027D"/>
    <w:rsid w:val="707637CE"/>
    <w:rsid w:val="70BF109F"/>
    <w:rsid w:val="70D40840"/>
    <w:rsid w:val="70E172F7"/>
    <w:rsid w:val="715F4E81"/>
    <w:rsid w:val="71727B1D"/>
    <w:rsid w:val="71A81899"/>
    <w:rsid w:val="71B34766"/>
    <w:rsid w:val="71E057DE"/>
    <w:rsid w:val="71F55EDC"/>
    <w:rsid w:val="720150BA"/>
    <w:rsid w:val="720709FF"/>
    <w:rsid w:val="720D56A0"/>
    <w:rsid w:val="72542463"/>
    <w:rsid w:val="72566714"/>
    <w:rsid w:val="7269031E"/>
    <w:rsid w:val="72743F66"/>
    <w:rsid w:val="727A5ED3"/>
    <w:rsid w:val="728C6E6C"/>
    <w:rsid w:val="728E4CB0"/>
    <w:rsid w:val="72936A1C"/>
    <w:rsid w:val="72A4736C"/>
    <w:rsid w:val="72AC145C"/>
    <w:rsid w:val="72AE2E9A"/>
    <w:rsid w:val="72E277AE"/>
    <w:rsid w:val="72E74055"/>
    <w:rsid w:val="73006540"/>
    <w:rsid w:val="73027C2E"/>
    <w:rsid w:val="730350FD"/>
    <w:rsid w:val="730403CF"/>
    <w:rsid w:val="730C6A8D"/>
    <w:rsid w:val="731B1E81"/>
    <w:rsid w:val="73362A3B"/>
    <w:rsid w:val="733F022A"/>
    <w:rsid w:val="734946A9"/>
    <w:rsid w:val="73BB5931"/>
    <w:rsid w:val="73DE47A1"/>
    <w:rsid w:val="73E5659A"/>
    <w:rsid w:val="73EF6AD1"/>
    <w:rsid w:val="73F17D2A"/>
    <w:rsid w:val="74035615"/>
    <w:rsid w:val="743A5314"/>
    <w:rsid w:val="743A7EA5"/>
    <w:rsid w:val="743E427D"/>
    <w:rsid w:val="74A467ED"/>
    <w:rsid w:val="74B83C7E"/>
    <w:rsid w:val="74BA22F7"/>
    <w:rsid w:val="74BB23AB"/>
    <w:rsid w:val="7517687A"/>
    <w:rsid w:val="752C6F76"/>
    <w:rsid w:val="75396A35"/>
    <w:rsid w:val="753B19D6"/>
    <w:rsid w:val="753C6B31"/>
    <w:rsid w:val="756B0E27"/>
    <w:rsid w:val="75B9650D"/>
    <w:rsid w:val="75D037DC"/>
    <w:rsid w:val="75D55A79"/>
    <w:rsid w:val="75E717CC"/>
    <w:rsid w:val="75EC3F48"/>
    <w:rsid w:val="75F70D00"/>
    <w:rsid w:val="75FD193A"/>
    <w:rsid w:val="76410C10"/>
    <w:rsid w:val="764F1E07"/>
    <w:rsid w:val="76627C89"/>
    <w:rsid w:val="76936EFE"/>
    <w:rsid w:val="76D4557E"/>
    <w:rsid w:val="76DC39A3"/>
    <w:rsid w:val="76F710EF"/>
    <w:rsid w:val="771F3DD8"/>
    <w:rsid w:val="772E4136"/>
    <w:rsid w:val="775A7CEA"/>
    <w:rsid w:val="77862F90"/>
    <w:rsid w:val="778840D0"/>
    <w:rsid w:val="77886DCE"/>
    <w:rsid w:val="77AB2863"/>
    <w:rsid w:val="77AC0636"/>
    <w:rsid w:val="77AC3C8D"/>
    <w:rsid w:val="77B5549D"/>
    <w:rsid w:val="77E84899"/>
    <w:rsid w:val="77EF3CD0"/>
    <w:rsid w:val="77F746F0"/>
    <w:rsid w:val="77F82D14"/>
    <w:rsid w:val="77FB48E0"/>
    <w:rsid w:val="780E26AF"/>
    <w:rsid w:val="7831594A"/>
    <w:rsid w:val="7850728B"/>
    <w:rsid w:val="785E62E9"/>
    <w:rsid w:val="78612DA9"/>
    <w:rsid w:val="78C66A97"/>
    <w:rsid w:val="78CB0CEE"/>
    <w:rsid w:val="7904573C"/>
    <w:rsid w:val="79294B6B"/>
    <w:rsid w:val="793677BE"/>
    <w:rsid w:val="794319E9"/>
    <w:rsid w:val="7956320E"/>
    <w:rsid w:val="79644A9A"/>
    <w:rsid w:val="797E3984"/>
    <w:rsid w:val="79AA3D95"/>
    <w:rsid w:val="79D50C00"/>
    <w:rsid w:val="79DA6DB2"/>
    <w:rsid w:val="79F17E9D"/>
    <w:rsid w:val="7A02713C"/>
    <w:rsid w:val="7A041023"/>
    <w:rsid w:val="7A163B0B"/>
    <w:rsid w:val="7A365D34"/>
    <w:rsid w:val="7A377686"/>
    <w:rsid w:val="7A452477"/>
    <w:rsid w:val="7A790E7C"/>
    <w:rsid w:val="7AAF3E4F"/>
    <w:rsid w:val="7ABD2FBD"/>
    <w:rsid w:val="7AF27EFF"/>
    <w:rsid w:val="7B041699"/>
    <w:rsid w:val="7B077C44"/>
    <w:rsid w:val="7B4C3AAA"/>
    <w:rsid w:val="7B4F50BC"/>
    <w:rsid w:val="7B7F2455"/>
    <w:rsid w:val="7B9A4FC5"/>
    <w:rsid w:val="7BCE6476"/>
    <w:rsid w:val="7BFA2925"/>
    <w:rsid w:val="7C011E41"/>
    <w:rsid w:val="7C050B07"/>
    <w:rsid w:val="7C435885"/>
    <w:rsid w:val="7C8B3390"/>
    <w:rsid w:val="7CB76AEE"/>
    <w:rsid w:val="7D415FE4"/>
    <w:rsid w:val="7D454438"/>
    <w:rsid w:val="7D5E25E3"/>
    <w:rsid w:val="7DBE67A4"/>
    <w:rsid w:val="7DE33C4E"/>
    <w:rsid w:val="7DF20A19"/>
    <w:rsid w:val="7DFC6432"/>
    <w:rsid w:val="7E0F0BD6"/>
    <w:rsid w:val="7E191916"/>
    <w:rsid w:val="7E2D5FA6"/>
    <w:rsid w:val="7E4161E3"/>
    <w:rsid w:val="7E421F59"/>
    <w:rsid w:val="7E4F3A06"/>
    <w:rsid w:val="7E657E99"/>
    <w:rsid w:val="7E987363"/>
    <w:rsid w:val="7EC237BE"/>
    <w:rsid w:val="7EC3653D"/>
    <w:rsid w:val="7ECB33F8"/>
    <w:rsid w:val="7F2828B2"/>
    <w:rsid w:val="7F8F1E6D"/>
    <w:rsid w:val="7FFC0D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0" w:semiHidden="0" w:name="Normal Indent"/>
    <w:lsdException w:qFormat="1" w:unhideWhenUsed="0" w:uiPriority="0" w:semiHidden="0" w:name="footnote text"/>
    <w:lsdException w:qFormat="1" w:uiPriority="0" w:semiHidden="0" w:name="annotation text"/>
    <w:lsdException w:qFormat="1" w:unhideWhenUsed="0" w:uiPriority="99" w:semiHidden="0" w:name="header"/>
    <w:lsdException w:qFormat="1" w:unhideWhenUsed="0" w:uiPriority="99" w:semiHidden="0" w:name="footer"/>
    <w:lsdException w:uiPriority="0" w:name="index heading"/>
    <w:lsdException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unhideWhenUsed="0" w:uiPriority="0" w:semiHidden="0" w:name="Subtitle"/>
    <w:lsdException w:uiPriority="0" w:name="Salutation"/>
    <w:lsdException w:qFormat="1" w:unhideWhenUsed="0" w:uiPriority="0"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0" w:semiHidden="0" w:name="FollowedHyperlink"/>
    <w:lsdException w:unhideWhenUsed="0" w:uiPriority="0" w:semiHidden="0" w:name="Strong"/>
    <w:lsdException w:unhideWhenUsed="0" w:uiPriority="0" w:semiHidden="0" w:name="Emphasis"/>
    <w:lsdException w:qFormat="1"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Bdr>
        <w:top w:val="none" w:color="000000" w:sz="0" w:space="0"/>
        <w:left w:val="none" w:color="000000" w:sz="0" w:space="0"/>
        <w:bottom w:val="none" w:color="000000" w:sz="0" w:space="0"/>
        <w:right w:val="none" w:color="000000" w:sz="0" w:space="0"/>
        <w:between w:val="none" w:color="000000" w:sz="0" w:space="0"/>
      </w:pBdr>
    </w:pPr>
    <w:rPr>
      <w:rFonts w:ascii="Calibri" w:hAnsi="Calibri" w:eastAsia="宋体" w:cs="Times New Roman"/>
      <w:sz w:val="24"/>
      <w:szCs w:val="22"/>
      <w:lang w:val="en-US" w:eastAsia="zh-CN" w:bidi="ar-SA"/>
    </w:rPr>
  </w:style>
  <w:style w:type="paragraph" w:styleId="4">
    <w:name w:val="heading 1"/>
    <w:basedOn w:val="1"/>
    <w:next w:val="1"/>
    <w:link w:val="87"/>
    <w:qFormat/>
    <w:uiPriority w:val="9"/>
    <w:pPr>
      <w:keepNext/>
      <w:keepLines/>
      <w:spacing w:line="300" w:lineRule="auto"/>
      <w:ind w:left="2773"/>
      <w:outlineLvl w:val="0"/>
    </w:pPr>
    <w:rPr>
      <w:rFonts w:asciiTheme="minorEastAsia" w:hAnsiTheme="minorEastAsia" w:eastAsiaTheme="minorEastAsia"/>
      <w:b/>
      <w:bCs/>
      <w:kern w:val="44"/>
      <w:sz w:val="32"/>
      <w:szCs w:val="44"/>
    </w:rPr>
  </w:style>
  <w:style w:type="paragraph" w:styleId="5">
    <w:name w:val="heading 2"/>
    <w:basedOn w:val="1"/>
    <w:next w:val="6"/>
    <w:link w:val="45"/>
    <w:unhideWhenUsed/>
    <w:qFormat/>
    <w:uiPriority w:val="0"/>
    <w:pPr>
      <w:keepNext/>
      <w:keepLines/>
      <w:pBdr>
        <w:top w:val="none" w:color="auto" w:sz="0" w:space="0"/>
        <w:left w:val="none" w:color="auto" w:sz="0" w:space="0"/>
        <w:bottom w:val="none" w:color="auto" w:sz="0" w:space="0"/>
        <w:right w:val="none" w:color="auto" w:sz="0" w:space="0"/>
        <w:between w:val="none" w:color="auto" w:sz="0" w:space="0"/>
      </w:pBdr>
      <w:spacing w:line="300" w:lineRule="auto"/>
      <w:ind w:left="102"/>
      <w:jc w:val="both"/>
      <w:outlineLvl w:val="1"/>
    </w:pPr>
    <w:rPr>
      <w:rFonts w:cs="黑体" w:asciiTheme="minorEastAsia" w:hAnsiTheme="minorEastAsia" w:eastAsiaTheme="minorEastAsia"/>
      <w:b/>
      <w:bCs/>
      <w:color w:val="000000" w:themeColor="text1"/>
      <w:kern w:val="2"/>
      <w:sz w:val="28"/>
      <w:szCs w:val="32"/>
      <w14:textFill>
        <w14:solidFill>
          <w14:schemeClr w14:val="tx1"/>
        </w14:solidFill>
      </w14:textFill>
    </w:rPr>
  </w:style>
  <w:style w:type="paragraph" w:styleId="7">
    <w:name w:val="heading 3"/>
    <w:basedOn w:val="1"/>
    <w:next w:val="1"/>
    <w:link w:val="46"/>
    <w:unhideWhenUsed/>
    <w:qFormat/>
    <w:uiPriority w:val="9"/>
    <w:pPr>
      <w:keepNext/>
      <w:keepLines/>
      <w:spacing w:line="300" w:lineRule="auto"/>
      <w:ind w:firstLine="480"/>
      <w:outlineLvl w:val="2"/>
    </w:pPr>
    <w:rPr>
      <w:rFonts w:asciiTheme="minorEastAsia" w:hAnsiTheme="minorEastAsia" w:eastAsiaTheme="minorEastAsia"/>
      <w:b/>
      <w:bCs/>
      <w:color w:val="000000" w:themeColor="text1"/>
      <w:szCs w:val="32"/>
      <w14:textFill>
        <w14:solidFill>
          <w14:schemeClr w14:val="tx1"/>
        </w14:solidFill>
      </w14:textFill>
    </w:rPr>
  </w:style>
  <w:style w:type="paragraph" w:styleId="8">
    <w:name w:val="heading 4"/>
    <w:basedOn w:val="1"/>
    <w:next w:val="1"/>
    <w:link w:val="47"/>
    <w:unhideWhenUsed/>
    <w:qFormat/>
    <w:uiPriority w:val="9"/>
    <w:pPr>
      <w:keepNext/>
      <w:keepLines/>
      <w:spacing w:before="280" w:after="290" w:line="376" w:lineRule="auto"/>
      <w:outlineLvl w:val="3"/>
    </w:pPr>
    <w:rPr>
      <w:rFonts w:ascii="Cambria" w:hAnsi="Cambria" w:cs="黑体"/>
      <w:b/>
      <w:bCs/>
      <w:sz w:val="28"/>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44"/>
    <w:qFormat/>
    <w:uiPriority w:val="0"/>
    <w:pPr>
      <w:pBdr>
        <w:top w:val="none" w:color="000000" w:sz="0" w:space="3"/>
        <w:left w:val="none" w:color="000000" w:sz="0" w:space="3"/>
        <w:bottom w:val="none" w:color="000000" w:sz="0" w:space="3"/>
        <w:right w:val="none" w:color="000000" w:sz="0" w:space="3"/>
      </w:pBdr>
      <w:ind w:left="100"/>
    </w:pPr>
    <w:rPr>
      <w:rFonts w:ascii="Noto Sans CJK DemiLight" w:hAnsi="Noto Sans CJK DemiLight" w:eastAsia="Noto Sans CJK DemiLight"/>
      <w:sz w:val="21"/>
      <w:szCs w:val="21"/>
    </w:rPr>
  </w:style>
  <w:style w:type="paragraph" w:customStyle="1" w:styleId="3">
    <w:name w:val="普通(网站)1"/>
    <w:basedOn w:val="1"/>
    <w:qFormat/>
    <w:uiPriority w:val="0"/>
    <w:pPr>
      <w:spacing w:line="360" w:lineRule="auto"/>
    </w:pPr>
  </w:style>
  <w:style w:type="paragraph" w:styleId="6">
    <w:name w:val="Normal Indent"/>
    <w:basedOn w:val="1"/>
    <w:unhideWhenUsed/>
    <w:qFormat/>
    <w:uiPriority w:val="0"/>
    <w:pPr>
      <w:ind w:firstLine="420" w:firstLineChars="200"/>
    </w:pPr>
  </w:style>
  <w:style w:type="paragraph" w:styleId="9">
    <w:name w:val="toc 7"/>
    <w:basedOn w:val="1"/>
    <w:next w:val="1"/>
    <w:unhideWhenUsed/>
    <w:qFormat/>
    <w:uiPriority w:val="39"/>
    <w:pPr>
      <w:ind w:left="1440"/>
    </w:pPr>
    <w:rPr>
      <w:rFonts w:asciiTheme="minorHAnsi" w:hAnsiTheme="minorHAnsi" w:cstheme="minorHAnsi"/>
      <w:sz w:val="20"/>
      <w:szCs w:val="20"/>
    </w:rPr>
  </w:style>
  <w:style w:type="paragraph" w:styleId="10">
    <w:name w:val="Document Map"/>
    <w:basedOn w:val="1"/>
    <w:link w:val="50"/>
    <w:semiHidden/>
    <w:unhideWhenUsed/>
    <w:qFormat/>
    <w:uiPriority w:val="0"/>
    <w:rPr>
      <w:rFonts w:ascii="宋体"/>
      <w:sz w:val="18"/>
      <w:szCs w:val="18"/>
    </w:rPr>
  </w:style>
  <w:style w:type="paragraph" w:styleId="11">
    <w:name w:val="annotation text"/>
    <w:basedOn w:val="1"/>
    <w:link w:val="48"/>
    <w:unhideWhenUsed/>
    <w:qFormat/>
    <w:uiPriority w:val="0"/>
    <w:pPr>
      <w:pBdr>
        <w:top w:val="none" w:color="auto" w:sz="0" w:space="0"/>
        <w:left w:val="none" w:color="auto" w:sz="0" w:space="0"/>
        <w:bottom w:val="none" w:color="auto" w:sz="0" w:space="0"/>
        <w:right w:val="none" w:color="auto" w:sz="0" w:space="0"/>
        <w:between w:val="none" w:color="auto" w:sz="0" w:space="0"/>
      </w:pBdr>
    </w:pPr>
    <w:rPr>
      <w:rFonts w:ascii="Noto Sans CJK DemiLight" w:hAnsi="Noto Sans CJK DemiLight" w:eastAsia="Noto Sans CJK DemiLight" w:cs="微软雅黑"/>
      <w:kern w:val="2"/>
      <w:sz w:val="21"/>
    </w:rPr>
  </w:style>
  <w:style w:type="paragraph" w:styleId="12">
    <w:name w:val="Body Text Indent"/>
    <w:basedOn w:val="1"/>
    <w:link w:val="51"/>
    <w:qFormat/>
    <w:uiPriority w:val="0"/>
    <w:pPr>
      <w:pBdr>
        <w:top w:val="none" w:color="auto" w:sz="0" w:space="0"/>
        <w:left w:val="none" w:color="auto" w:sz="0" w:space="0"/>
        <w:bottom w:val="none" w:color="auto" w:sz="0" w:space="0"/>
        <w:right w:val="none" w:color="auto" w:sz="0" w:space="0"/>
        <w:between w:val="none" w:color="auto" w:sz="0" w:space="0"/>
      </w:pBdr>
      <w:spacing w:after="120"/>
      <w:ind w:left="420" w:leftChars="200"/>
      <w:jc w:val="both"/>
    </w:pPr>
    <w:rPr>
      <w:rFonts w:ascii="Times New Roman" w:hAnsi="Times New Roman"/>
      <w:kern w:val="2"/>
      <w:sz w:val="21"/>
      <w:szCs w:val="24"/>
    </w:rPr>
  </w:style>
  <w:style w:type="paragraph" w:styleId="13">
    <w:name w:val="toc 5"/>
    <w:basedOn w:val="1"/>
    <w:next w:val="1"/>
    <w:unhideWhenUsed/>
    <w:qFormat/>
    <w:uiPriority w:val="39"/>
    <w:pPr>
      <w:ind w:left="960"/>
    </w:pPr>
    <w:rPr>
      <w:rFonts w:asciiTheme="minorHAnsi" w:hAnsiTheme="minorHAnsi" w:cstheme="minorHAnsi"/>
      <w:sz w:val="20"/>
      <w:szCs w:val="20"/>
    </w:rPr>
  </w:style>
  <w:style w:type="paragraph" w:styleId="14">
    <w:name w:val="toc 3"/>
    <w:basedOn w:val="1"/>
    <w:next w:val="1"/>
    <w:unhideWhenUsed/>
    <w:qFormat/>
    <w:uiPriority w:val="39"/>
    <w:pPr>
      <w:ind w:left="480"/>
    </w:pPr>
    <w:rPr>
      <w:rFonts w:asciiTheme="minorHAnsi" w:hAnsiTheme="minorHAnsi" w:cstheme="minorHAnsi"/>
      <w:sz w:val="20"/>
      <w:szCs w:val="20"/>
    </w:rPr>
  </w:style>
  <w:style w:type="paragraph" w:styleId="15">
    <w:name w:val="Plain Text"/>
    <w:basedOn w:val="1"/>
    <w:link w:val="52"/>
    <w:qFormat/>
    <w:uiPriority w:val="0"/>
    <w:pPr>
      <w:pBdr>
        <w:top w:val="none" w:color="auto" w:sz="0" w:space="0"/>
        <w:left w:val="none" w:color="auto" w:sz="0" w:space="0"/>
        <w:bottom w:val="none" w:color="auto" w:sz="0" w:space="0"/>
        <w:right w:val="none" w:color="auto" w:sz="0" w:space="0"/>
        <w:between w:val="none" w:color="auto" w:sz="0" w:space="0"/>
      </w:pBdr>
    </w:pPr>
    <w:rPr>
      <w:rFonts w:ascii="宋体" w:hAnsi="Courier New" w:cs="宋体"/>
      <w:lang w:eastAsia="en-US"/>
    </w:rPr>
  </w:style>
  <w:style w:type="paragraph" w:styleId="16">
    <w:name w:val="toc 8"/>
    <w:basedOn w:val="1"/>
    <w:next w:val="1"/>
    <w:link w:val="89"/>
    <w:unhideWhenUsed/>
    <w:qFormat/>
    <w:uiPriority w:val="39"/>
    <w:pPr>
      <w:ind w:left="1680"/>
    </w:pPr>
    <w:rPr>
      <w:rFonts w:asciiTheme="minorHAnsi" w:hAnsiTheme="minorHAnsi" w:cstheme="minorHAnsi"/>
      <w:sz w:val="20"/>
      <w:szCs w:val="20"/>
    </w:rPr>
  </w:style>
  <w:style w:type="paragraph" w:styleId="17">
    <w:name w:val="Date"/>
    <w:next w:val="1"/>
    <w:link w:val="53"/>
    <w:qFormat/>
    <w:uiPriority w:val="0"/>
    <w:pPr>
      <w:pBdr>
        <w:top w:val="none" w:color="000000" w:sz="0" w:space="3"/>
        <w:left w:val="none" w:color="000000" w:sz="0" w:space="3"/>
        <w:bottom w:val="none" w:color="000000" w:sz="0" w:space="3"/>
        <w:right w:val="none" w:color="000000" w:sz="0" w:space="3"/>
      </w:pBdr>
      <w:spacing w:line="360" w:lineRule="atLeast"/>
      <w:jc w:val="both"/>
    </w:pPr>
    <w:rPr>
      <w:rFonts w:ascii="宋体" w:hAnsi="宋体" w:eastAsia="宋体" w:cs="Times New Roman"/>
      <w:sz w:val="24"/>
      <w:lang w:val="en-US" w:eastAsia="zh-CN" w:bidi="ar-SA"/>
    </w:rPr>
  </w:style>
  <w:style w:type="paragraph" w:styleId="18">
    <w:name w:val="Balloon Text"/>
    <w:basedOn w:val="1"/>
    <w:link w:val="54"/>
    <w:unhideWhenUsed/>
    <w:qFormat/>
    <w:uiPriority w:val="99"/>
    <w:rPr>
      <w:sz w:val="18"/>
      <w:szCs w:val="18"/>
    </w:rPr>
  </w:style>
  <w:style w:type="paragraph" w:styleId="19">
    <w:name w:val="footer"/>
    <w:basedOn w:val="1"/>
    <w:link w:val="55"/>
    <w:qFormat/>
    <w:uiPriority w:val="99"/>
    <w:pPr>
      <w:pBdr>
        <w:top w:val="none" w:color="000000" w:sz="0" w:space="3"/>
        <w:left w:val="none" w:color="000000" w:sz="0" w:space="3"/>
        <w:bottom w:val="none" w:color="000000" w:sz="0" w:space="3"/>
        <w:right w:val="none" w:color="000000" w:sz="0" w:space="3"/>
      </w:pBdr>
      <w:tabs>
        <w:tab w:val="center" w:pos="4153"/>
        <w:tab w:val="right" w:pos="8306"/>
      </w:tabs>
    </w:pPr>
    <w:rPr>
      <w:sz w:val="18"/>
      <w:szCs w:val="18"/>
    </w:rPr>
  </w:style>
  <w:style w:type="paragraph" w:styleId="20">
    <w:name w:val="header"/>
    <w:basedOn w:val="1"/>
    <w:next w:val="21"/>
    <w:link w:val="56"/>
    <w:qFormat/>
    <w:uiPriority w:val="99"/>
    <w:pPr>
      <w:pBdr>
        <w:top w:val="none" w:color="000000" w:sz="0" w:space="3"/>
        <w:left w:val="none" w:color="000000" w:sz="0" w:space="3"/>
        <w:bottom w:val="single" w:color="000000" w:sz="6" w:space="1"/>
        <w:right w:val="none" w:color="000000" w:sz="0" w:space="3"/>
      </w:pBdr>
      <w:tabs>
        <w:tab w:val="center" w:pos="4153"/>
        <w:tab w:val="right" w:pos="8306"/>
      </w:tabs>
      <w:jc w:val="center"/>
    </w:pPr>
    <w:rPr>
      <w:sz w:val="18"/>
      <w:szCs w:val="18"/>
    </w:rPr>
  </w:style>
  <w:style w:type="paragraph" w:customStyle="1" w:styleId="21">
    <w:name w:val="列表段落1"/>
    <w:next w:val="1"/>
    <w:qFormat/>
    <w:uiPriority w:val="1"/>
    <w:rPr>
      <w:rFonts w:ascii="Calibri" w:hAnsi="Calibri" w:eastAsia="宋体" w:cs="Times New Roman"/>
      <w:sz w:val="22"/>
      <w:szCs w:val="22"/>
      <w:lang w:val="en-US" w:eastAsia="zh-CN" w:bidi="ar-SA"/>
    </w:rPr>
  </w:style>
  <w:style w:type="paragraph" w:styleId="22">
    <w:name w:val="toc 1"/>
    <w:basedOn w:val="1"/>
    <w:next w:val="1"/>
    <w:unhideWhenUsed/>
    <w:qFormat/>
    <w:uiPriority w:val="39"/>
    <w:pPr>
      <w:spacing w:before="120"/>
    </w:pPr>
    <w:rPr>
      <w:rFonts w:asciiTheme="minorHAnsi" w:hAnsiTheme="minorHAnsi" w:cstheme="minorHAnsi"/>
      <w:b/>
      <w:bCs/>
      <w:i/>
      <w:iCs/>
      <w:szCs w:val="24"/>
    </w:rPr>
  </w:style>
  <w:style w:type="paragraph" w:styleId="23">
    <w:name w:val="toc 4"/>
    <w:basedOn w:val="1"/>
    <w:next w:val="1"/>
    <w:unhideWhenUsed/>
    <w:qFormat/>
    <w:uiPriority w:val="39"/>
    <w:pPr>
      <w:ind w:left="720"/>
    </w:pPr>
    <w:rPr>
      <w:rFonts w:asciiTheme="minorHAnsi" w:hAnsiTheme="minorHAnsi" w:cstheme="minorHAnsi"/>
      <w:sz w:val="20"/>
      <w:szCs w:val="20"/>
    </w:rPr>
  </w:style>
  <w:style w:type="paragraph" w:styleId="24">
    <w:name w:val="footnote text"/>
    <w:link w:val="57"/>
    <w:qFormat/>
    <w:uiPriority w:val="0"/>
    <w:rPr>
      <w:rFonts w:ascii="Calibri" w:hAnsi="Calibri" w:eastAsia="宋体" w:cs="Times New Roman"/>
      <w:sz w:val="22"/>
      <w:szCs w:val="22"/>
      <w:lang w:val="en-US" w:eastAsia="zh-CN" w:bidi="ar-SA"/>
    </w:rPr>
  </w:style>
  <w:style w:type="paragraph" w:styleId="25">
    <w:name w:val="toc 6"/>
    <w:basedOn w:val="1"/>
    <w:next w:val="1"/>
    <w:unhideWhenUsed/>
    <w:qFormat/>
    <w:uiPriority w:val="39"/>
    <w:pPr>
      <w:ind w:left="1200"/>
    </w:pPr>
    <w:rPr>
      <w:rFonts w:asciiTheme="minorHAnsi" w:hAnsiTheme="minorHAnsi" w:cstheme="minorHAnsi"/>
      <w:sz w:val="20"/>
      <w:szCs w:val="20"/>
    </w:rPr>
  </w:style>
  <w:style w:type="paragraph" w:styleId="26">
    <w:name w:val="toc 2"/>
    <w:basedOn w:val="1"/>
    <w:next w:val="1"/>
    <w:unhideWhenUsed/>
    <w:qFormat/>
    <w:uiPriority w:val="39"/>
    <w:pPr>
      <w:spacing w:before="120"/>
      <w:ind w:left="240"/>
    </w:pPr>
    <w:rPr>
      <w:rFonts w:asciiTheme="minorHAnsi" w:hAnsiTheme="minorHAnsi" w:cstheme="minorHAnsi"/>
      <w:b/>
      <w:bCs/>
      <w:sz w:val="22"/>
    </w:rPr>
  </w:style>
  <w:style w:type="paragraph" w:styleId="27">
    <w:name w:val="toc 9"/>
    <w:basedOn w:val="1"/>
    <w:next w:val="1"/>
    <w:unhideWhenUsed/>
    <w:qFormat/>
    <w:uiPriority w:val="39"/>
    <w:pPr>
      <w:ind w:left="1920"/>
    </w:pPr>
    <w:rPr>
      <w:rFonts w:asciiTheme="minorHAnsi" w:hAnsiTheme="minorHAnsi" w:cstheme="minorHAnsi"/>
      <w:sz w:val="20"/>
      <w:szCs w:val="20"/>
    </w:rPr>
  </w:style>
  <w:style w:type="paragraph" w:styleId="28">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szCs w:val="24"/>
    </w:rPr>
  </w:style>
  <w:style w:type="paragraph" w:styleId="29">
    <w:name w:val="Normal (Web)"/>
    <w:basedOn w:val="1"/>
    <w:unhideWhenUsed/>
    <w:qFormat/>
    <w:uiPriority w:val="99"/>
    <w:pPr>
      <w:pBdr>
        <w:top w:val="none" w:color="auto" w:sz="0" w:space="0"/>
        <w:left w:val="none" w:color="auto" w:sz="0" w:space="0"/>
        <w:bottom w:val="none" w:color="auto" w:sz="0" w:space="0"/>
        <w:right w:val="none" w:color="auto" w:sz="0" w:space="0"/>
        <w:between w:val="none" w:color="auto" w:sz="0" w:space="0"/>
      </w:pBdr>
      <w:spacing w:before="100" w:beforeAutospacing="1" w:after="100" w:afterAutospacing="1"/>
    </w:pPr>
    <w:rPr>
      <w:rFonts w:ascii="Times New Roman" w:hAnsi="Times New Roman"/>
      <w:szCs w:val="20"/>
    </w:rPr>
  </w:style>
  <w:style w:type="paragraph" w:styleId="30">
    <w:name w:val="annotation subject"/>
    <w:basedOn w:val="11"/>
    <w:next w:val="11"/>
    <w:link w:val="49"/>
    <w:semiHidden/>
    <w:unhideWhenUsed/>
    <w:qFormat/>
    <w:uiPriority w:val="0"/>
    <w:pPr>
      <w:pBdr>
        <w:top w:val="none" w:color="000000" w:sz="0" w:space="0"/>
        <w:left w:val="none" w:color="000000" w:sz="0" w:space="0"/>
        <w:bottom w:val="none" w:color="000000" w:sz="0" w:space="0"/>
        <w:right w:val="none" w:color="000000" w:sz="0" w:space="0"/>
        <w:between w:val="none" w:color="000000" w:sz="0" w:space="0"/>
      </w:pBdr>
    </w:pPr>
    <w:rPr>
      <w:rFonts w:ascii="Calibri" w:hAnsi="Calibri" w:eastAsia="宋体" w:cs="Times New Roman"/>
      <w:b/>
      <w:bCs/>
      <w:kern w:val="0"/>
      <w:sz w:val="22"/>
    </w:rPr>
  </w:style>
  <w:style w:type="paragraph" w:styleId="31">
    <w:name w:val="Body Text First Indent 2"/>
    <w:basedOn w:val="12"/>
    <w:qFormat/>
    <w:uiPriority w:val="0"/>
    <w:pPr>
      <w:ind w:firstLine="210"/>
    </w:pPr>
    <w:rPr>
      <w:szCs w:val="20"/>
    </w:rPr>
  </w:style>
  <w:style w:type="table" w:styleId="33">
    <w:name w:val="Table Grid"/>
    <w:basedOn w:val="3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page number"/>
    <w:basedOn w:val="34"/>
    <w:unhideWhenUsed/>
    <w:qFormat/>
    <w:uiPriority w:val="0"/>
  </w:style>
  <w:style w:type="character" w:styleId="36">
    <w:name w:val="FollowedHyperlink"/>
    <w:basedOn w:val="34"/>
    <w:unhideWhenUsed/>
    <w:qFormat/>
    <w:uiPriority w:val="0"/>
    <w:rPr>
      <w:color w:val="800080"/>
      <w:u w:val="single"/>
    </w:rPr>
  </w:style>
  <w:style w:type="character" w:styleId="37">
    <w:name w:val="Hyperlink"/>
    <w:qFormat/>
    <w:uiPriority w:val="99"/>
    <w:rPr>
      <w:color w:val="0000FF"/>
      <w:u w:val="single"/>
    </w:rPr>
  </w:style>
  <w:style w:type="character" w:styleId="38">
    <w:name w:val="annotation reference"/>
    <w:semiHidden/>
    <w:qFormat/>
    <w:uiPriority w:val="0"/>
    <w:rPr>
      <w:sz w:val="21"/>
      <w:szCs w:val="21"/>
    </w:rPr>
  </w:style>
  <w:style w:type="character" w:styleId="39">
    <w:name w:val="footnote reference"/>
    <w:qFormat/>
    <w:uiPriority w:val="0"/>
    <w:rPr>
      <w:vertAlign w:val="superscript"/>
    </w:rPr>
  </w:style>
  <w:style w:type="paragraph" w:customStyle="1" w:styleId="40">
    <w:name w:val="引言二级条标题"/>
    <w:basedOn w:val="41"/>
    <w:next w:val="42"/>
    <w:qFormat/>
    <w:uiPriority w:val="0"/>
    <w:pPr>
      <w:numPr>
        <w:ilvl w:val="1"/>
        <w:numId w:val="1"/>
      </w:numPr>
      <w:tabs>
        <w:tab w:val="left" w:pos="360"/>
      </w:tabs>
    </w:pPr>
    <w:rPr>
      <w:b w:val="0"/>
    </w:rPr>
  </w:style>
  <w:style w:type="paragraph" w:customStyle="1" w:styleId="41">
    <w:name w:val="引言一级条标题"/>
    <w:basedOn w:val="1"/>
    <w:next w:val="42"/>
    <w:qFormat/>
    <w:uiPriority w:val="0"/>
    <w:pPr>
      <w:widowControl/>
      <w:numPr>
        <w:ilvl w:val="0"/>
        <w:numId w:val="2"/>
      </w:numPr>
    </w:pPr>
    <w:rPr>
      <w:rFonts w:ascii="Times New Roman" w:hAnsi="Times New Roman" w:eastAsia="黑体"/>
      <w:b/>
    </w:rPr>
  </w:style>
  <w:style w:type="paragraph" w:customStyle="1" w:styleId="42">
    <w:name w:val="段"/>
    <w:qFormat/>
    <w:uiPriority w:val="0"/>
    <w:pPr>
      <w:autoSpaceDE w:val="0"/>
      <w:autoSpaceDN w:val="0"/>
      <w:ind w:firstLine="420" w:firstLineChars="200"/>
      <w:jc w:val="both"/>
    </w:pPr>
    <w:rPr>
      <w:rFonts w:ascii="宋体" w:hAnsi="Calibri" w:eastAsia="宋体" w:cs="Times New Roman"/>
      <w:sz w:val="21"/>
      <w:szCs w:val="22"/>
      <w:lang w:val="en-US" w:eastAsia="zh-CN" w:bidi="ar-SA"/>
    </w:rPr>
  </w:style>
  <w:style w:type="character" w:customStyle="1" w:styleId="43">
    <w:name w:val="标题 1 字符"/>
    <w:basedOn w:val="34"/>
    <w:link w:val="4"/>
    <w:qFormat/>
    <w:uiPriority w:val="9"/>
    <w:rPr>
      <w:rFonts w:asciiTheme="minorEastAsia" w:hAnsiTheme="minorEastAsia" w:eastAsiaTheme="minorEastAsia"/>
      <w:b/>
      <w:bCs/>
      <w:kern w:val="44"/>
      <w:sz w:val="32"/>
      <w:szCs w:val="44"/>
    </w:rPr>
  </w:style>
  <w:style w:type="character" w:customStyle="1" w:styleId="44">
    <w:name w:val="正文文本 Char"/>
    <w:basedOn w:val="34"/>
    <w:link w:val="2"/>
    <w:qFormat/>
    <w:uiPriority w:val="0"/>
    <w:rPr>
      <w:rFonts w:ascii="Noto Sans CJK DemiLight" w:hAnsi="Noto Sans CJK DemiLight" w:eastAsia="Noto Sans CJK DemiLight"/>
      <w:sz w:val="21"/>
      <w:szCs w:val="21"/>
    </w:rPr>
  </w:style>
  <w:style w:type="character" w:customStyle="1" w:styleId="45">
    <w:name w:val="标题 2 Char"/>
    <w:basedOn w:val="34"/>
    <w:link w:val="5"/>
    <w:qFormat/>
    <w:uiPriority w:val="0"/>
    <w:rPr>
      <w:rFonts w:cs="黑体" w:asciiTheme="minorEastAsia" w:hAnsiTheme="minorEastAsia" w:eastAsiaTheme="minorEastAsia"/>
      <w:b/>
      <w:bCs/>
      <w:color w:val="000000" w:themeColor="text1"/>
      <w:kern w:val="2"/>
      <w:sz w:val="28"/>
      <w:szCs w:val="32"/>
      <w14:textFill>
        <w14:solidFill>
          <w14:schemeClr w14:val="tx1"/>
        </w14:solidFill>
      </w14:textFill>
    </w:rPr>
  </w:style>
  <w:style w:type="character" w:customStyle="1" w:styleId="46">
    <w:name w:val="标题 3 Char"/>
    <w:basedOn w:val="34"/>
    <w:link w:val="7"/>
    <w:qFormat/>
    <w:uiPriority w:val="9"/>
    <w:rPr>
      <w:rFonts w:asciiTheme="minorEastAsia" w:hAnsiTheme="minorEastAsia" w:eastAsiaTheme="minorEastAsia"/>
      <w:b/>
      <w:bCs/>
      <w:color w:val="000000" w:themeColor="text1"/>
      <w:sz w:val="24"/>
      <w:szCs w:val="32"/>
      <w14:textFill>
        <w14:solidFill>
          <w14:schemeClr w14:val="tx1"/>
        </w14:solidFill>
      </w14:textFill>
    </w:rPr>
  </w:style>
  <w:style w:type="character" w:customStyle="1" w:styleId="47">
    <w:name w:val="标题 4 Char"/>
    <w:basedOn w:val="34"/>
    <w:link w:val="8"/>
    <w:qFormat/>
    <w:uiPriority w:val="9"/>
    <w:rPr>
      <w:rFonts w:ascii="Cambria" w:hAnsi="Cambria" w:eastAsia="宋体" w:cs="黑体"/>
      <w:b/>
      <w:bCs/>
      <w:sz w:val="28"/>
      <w:szCs w:val="28"/>
    </w:rPr>
  </w:style>
  <w:style w:type="character" w:customStyle="1" w:styleId="48">
    <w:name w:val="批注文字 Char"/>
    <w:basedOn w:val="34"/>
    <w:link w:val="11"/>
    <w:qFormat/>
    <w:uiPriority w:val="0"/>
    <w:rPr>
      <w:rFonts w:ascii="Noto Sans CJK DemiLight" w:hAnsi="Noto Sans CJK DemiLight" w:eastAsia="Noto Sans CJK DemiLight" w:cs="微软雅黑"/>
      <w:kern w:val="2"/>
      <w:sz w:val="21"/>
      <w:szCs w:val="22"/>
    </w:rPr>
  </w:style>
  <w:style w:type="character" w:customStyle="1" w:styleId="49">
    <w:name w:val="批注主题 Char"/>
    <w:basedOn w:val="48"/>
    <w:link w:val="30"/>
    <w:semiHidden/>
    <w:qFormat/>
    <w:uiPriority w:val="0"/>
    <w:rPr>
      <w:rFonts w:ascii="Calibri" w:hAnsi="Calibri" w:eastAsia="Noto Sans CJK DemiLight" w:cs="微软雅黑"/>
      <w:b/>
      <w:bCs/>
      <w:kern w:val="2"/>
      <w:sz w:val="22"/>
      <w:szCs w:val="22"/>
    </w:rPr>
  </w:style>
  <w:style w:type="character" w:customStyle="1" w:styleId="50">
    <w:name w:val="文档结构图 Char"/>
    <w:basedOn w:val="34"/>
    <w:link w:val="10"/>
    <w:semiHidden/>
    <w:qFormat/>
    <w:uiPriority w:val="0"/>
    <w:rPr>
      <w:rFonts w:ascii="宋体" w:hAnsi="Calibri"/>
      <w:sz w:val="18"/>
      <w:szCs w:val="18"/>
    </w:rPr>
  </w:style>
  <w:style w:type="character" w:customStyle="1" w:styleId="51">
    <w:name w:val="正文文本缩进 Char"/>
    <w:basedOn w:val="34"/>
    <w:link w:val="12"/>
    <w:qFormat/>
    <w:uiPriority w:val="0"/>
    <w:rPr>
      <w:rFonts w:ascii="Times New Roman" w:hAnsi="Times New Roman"/>
      <w:kern w:val="2"/>
      <w:sz w:val="21"/>
      <w:szCs w:val="24"/>
    </w:rPr>
  </w:style>
  <w:style w:type="character" w:customStyle="1" w:styleId="52">
    <w:name w:val="纯文本 Char"/>
    <w:basedOn w:val="34"/>
    <w:link w:val="15"/>
    <w:qFormat/>
    <w:uiPriority w:val="0"/>
    <w:rPr>
      <w:rFonts w:ascii="宋体" w:hAnsi="Courier New" w:cs="宋体"/>
      <w:sz w:val="22"/>
      <w:szCs w:val="22"/>
      <w:lang w:eastAsia="en-US"/>
    </w:rPr>
  </w:style>
  <w:style w:type="character" w:customStyle="1" w:styleId="53">
    <w:name w:val="日期 Char1"/>
    <w:basedOn w:val="34"/>
    <w:link w:val="17"/>
    <w:qFormat/>
    <w:uiPriority w:val="0"/>
    <w:rPr>
      <w:rFonts w:ascii="宋体" w:hAnsi="宋体"/>
      <w:sz w:val="24"/>
    </w:rPr>
  </w:style>
  <w:style w:type="character" w:customStyle="1" w:styleId="54">
    <w:name w:val="批注框文本 Char"/>
    <w:basedOn w:val="34"/>
    <w:link w:val="18"/>
    <w:qFormat/>
    <w:uiPriority w:val="99"/>
    <w:rPr>
      <w:sz w:val="18"/>
      <w:szCs w:val="18"/>
    </w:rPr>
  </w:style>
  <w:style w:type="character" w:customStyle="1" w:styleId="55">
    <w:name w:val="页脚 Char1"/>
    <w:basedOn w:val="34"/>
    <w:link w:val="19"/>
    <w:qFormat/>
    <w:uiPriority w:val="99"/>
    <w:rPr>
      <w:rFonts w:cs="Times New Roman"/>
      <w:sz w:val="18"/>
      <w:szCs w:val="18"/>
    </w:rPr>
  </w:style>
  <w:style w:type="character" w:customStyle="1" w:styleId="56">
    <w:name w:val="页眉 Char1"/>
    <w:basedOn w:val="34"/>
    <w:link w:val="20"/>
    <w:qFormat/>
    <w:uiPriority w:val="99"/>
    <w:rPr>
      <w:rFonts w:cs="Times New Roman"/>
      <w:sz w:val="18"/>
      <w:szCs w:val="18"/>
    </w:rPr>
  </w:style>
  <w:style w:type="character" w:customStyle="1" w:styleId="57">
    <w:name w:val="脚注文本 Char"/>
    <w:basedOn w:val="34"/>
    <w:link w:val="24"/>
    <w:qFormat/>
    <w:uiPriority w:val="0"/>
    <w:rPr>
      <w:rFonts w:ascii="Calibri" w:hAnsi="Calibri"/>
      <w:sz w:val="22"/>
      <w:szCs w:val="22"/>
    </w:rPr>
  </w:style>
  <w:style w:type="paragraph" w:customStyle="1" w:styleId="58">
    <w:name w:val="标题 11"/>
    <w:qFormat/>
    <w:uiPriority w:val="0"/>
    <w:pPr>
      <w:pBdr>
        <w:top w:val="none" w:color="000000" w:sz="0" w:space="3"/>
        <w:left w:val="none" w:color="000000" w:sz="0" w:space="3"/>
        <w:bottom w:val="none" w:color="000000" w:sz="0" w:space="3"/>
        <w:right w:val="none" w:color="000000" w:sz="0" w:space="3"/>
      </w:pBdr>
      <w:outlineLvl w:val="1"/>
    </w:pPr>
    <w:rPr>
      <w:rFonts w:ascii="Noto Sans CJK DemiLight" w:hAnsi="Noto Sans CJK DemiLight" w:eastAsia="Noto Sans CJK DemiLight" w:cs="Times New Roman"/>
      <w:sz w:val="44"/>
      <w:szCs w:val="44"/>
      <w:lang w:val="en-US" w:eastAsia="zh-CN" w:bidi="ar-SA"/>
    </w:rPr>
  </w:style>
  <w:style w:type="paragraph" w:customStyle="1" w:styleId="59">
    <w:name w:val="标题 21"/>
    <w:qFormat/>
    <w:uiPriority w:val="0"/>
    <w:pPr>
      <w:pBdr>
        <w:top w:val="none" w:color="000000" w:sz="0" w:space="3"/>
        <w:left w:val="none" w:color="000000" w:sz="0" w:space="3"/>
        <w:bottom w:val="none" w:color="000000" w:sz="0" w:space="3"/>
        <w:right w:val="none" w:color="000000" w:sz="0" w:space="3"/>
      </w:pBdr>
      <w:outlineLvl w:val="2"/>
    </w:pPr>
    <w:rPr>
      <w:rFonts w:ascii="Noto Sans CJK DemiLight" w:hAnsi="Noto Sans CJK DemiLight" w:eastAsia="Noto Sans CJK DemiLight" w:cs="Times New Roman"/>
      <w:sz w:val="32"/>
      <w:szCs w:val="32"/>
      <w:lang w:val="en-US" w:eastAsia="zh-CN" w:bidi="ar-SA"/>
    </w:rPr>
  </w:style>
  <w:style w:type="paragraph" w:customStyle="1" w:styleId="60">
    <w:name w:val="标题 31"/>
    <w:qFormat/>
    <w:uiPriority w:val="0"/>
    <w:pPr>
      <w:pBdr>
        <w:top w:val="none" w:color="000000" w:sz="0" w:space="3"/>
        <w:left w:val="none" w:color="000000" w:sz="0" w:space="3"/>
        <w:bottom w:val="none" w:color="000000" w:sz="0" w:space="3"/>
        <w:right w:val="none" w:color="000000" w:sz="0" w:space="3"/>
      </w:pBdr>
      <w:ind w:left="237"/>
      <w:outlineLvl w:val="3"/>
    </w:pPr>
    <w:rPr>
      <w:rFonts w:ascii="Noto Sans CJK DemiLight" w:hAnsi="Noto Sans CJK DemiLight" w:eastAsia="Noto Sans CJK DemiLight" w:cs="Times New Roman"/>
      <w:sz w:val="28"/>
      <w:szCs w:val="28"/>
      <w:lang w:val="en-US" w:eastAsia="zh-CN" w:bidi="ar-SA"/>
    </w:rPr>
  </w:style>
  <w:style w:type="paragraph" w:customStyle="1" w:styleId="61">
    <w:name w:val="Table Paragraph"/>
    <w:qFormat/>
    <w:uiPriority w:val="1"/>
    <w:rPr>
      <w:rFonts w:ascii="Calibri" w:hAnsi="Calibri" w:eastAsia="宋体" w:cs="Times New Roman"/>
      <w:sz w:val="22"/>
      <w:szCs w:val="22"/>
      <w:lang w:val="en-US" w:eastAsia="zh-CN" w:bidi="ar-SA"/>
    </w:rPr>
  </w:style>
  <w:style w:type="paragraph" w:customStyle="1" w:styleId="62">
    <w:name w:val="Char Char Char"/>
    <w:qFormat/>
    <w:uiPriority w:val="0"/>
    <w:pPr>
      <w:pBdr>
        <w:top w:val="none" w:color="000000" w:sz="0" w:space="3"/>
        <w:left w:val="none" w:color="000000" w:sz="0" w:space="3"/>
        <w:bottom w:val="none" w:color="000000" w:sz="0" w:space="3"/>
        <w:right w:val="none" w:color="000000" w:sz="0" w:space="3"/>
      </w:pBdr>
      <w:jc w:val="both"/>
    </w:pPr>
    <w:rPr>
      <w:rFonts w:ascii="Tahoma" w:hAnsi="Tahoma" w:eastAsia="宋体" w:cs="Times New Roman"/>
      <w:kern w:val="1"/>
      <w:sz w:val="24"/>
      <w:lang w:val="en-US" w:eastAsia="zh-CN" w:bidi="ar-SA"/>
    </w:rPr>
  </w:style>
  <w:style w:type="paragraph" w:customStyle="1" w:styleId="63">
    <w:name w:val="Char Char Char1"/>
    <w:basedOn w:val="1"/>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Tahoma" w:hAnsi="Tahoma"/>
      <w:kern w:val="2"/>
      <w:szCs w:val="20"/>
    </w:rPr>
  </w:style>
  <w:style w:type="paragraph" w:customStyle="1" w:styleId="64">
    <w:name w:val="Default"/>
    <w:qFormat/>
    <w:uiPriority w:val="0"/>
    <w:pPr>
      <w:autoSpaceDE w:val="0"/>
      <w:autoSpaceDN w:val="0"/>
      <w:adjustRightInd w:val="0"/>
    </w:pPr>
    <w:rPr>
      <w:rFonts w:ascii="黑体" w:hAnsi="Times New Roman" w:eastAsia="黑体" w:cs="Times New Roman"/>
      <w:lang w:val="en-US" w:eastAsia="zh-CN" w:bidi="ar-SA"/>
    </w:rPr>
  </w:style>
  <w:style w:type="paragraph" w:customStyle="1" w:styleId="65">
    <w:name w:val="TOC 标题1"/>
    <w:basedOn w:val="4"/>
    <w:next w:val="1"/>
    <w:unhideWhenUsed/>
    <w:qFormat/>
    <w:uiPriority w:val="39"/>
    <w:pPr>
      <w:widowControl/>
      <w:pBdr>
        <w:top w:val="none" w:color="auto" w:sz="0" w:space="0"/>
        <w:left w:val="none" w:color="auto" w:sz="0" w:space="0"/>
        <w:bottom w:val="none" w:color="auto" w:sz="0" w:space="0"/>
        <w:right w:val="none" w:color="auto" w:sz="0" w:space="0"/>
        <w:between w:val="none" w:color="auto" w:sz="0" w:space="0"/>
      </w:pBdr>
      <w:spacing w:before="240" w:line="259" w:lineRule="auto"/>
      <w:outlineLvl w:val="9"/>
    </w:pPr>
    <w:rPr>
      <w:rFonts w:ascii="Cambria" w:hAnsi="Cambria" w:cs="黑体"/>
      <w:b w:val="0"/>
      <w:bCs w:val="0"/>
      <w:color w:val="365F90"/>
      <w:kern w:val="0"/>
      <w:szCs w:val="32"/>
    </w:rPr>
  </w:style>
  <w:style w:type="character" w:customStyle="1" w:styleId="66">
    <w:name w:val="页眉 Char"/>
    <w:qFormat/>
    <w:uiPriority w:val="0"/>
    <w:rPr>
      <w:sz w:val="18"/>
      <w:szCs w:val="18"/>
    </w:rPr>
  </w:style>
  <w:style w:type="character" w:customStyle="1" w:styleId="67">
    <w:name w:val="页脚 Char"/>
    <w:qFormat/>
    <w:uiPriority w:val="99"/>
    <w:rPr>
      <w:sz w:val="18"/>
      <w:szCs w:val="18"/>
    </w:rPr>
  </w:style>
  <w:style w:type="character" w:customStyle="1" w:styleId="68">
    <w:name w:val="占位符文本1"/>
    <w:qFormat/>
    <w:uiPriority w:val="0"/>
    <w:rPr>
      <w:color w:val="808080"/>
    </w:rPr>
  </w:style>
  <w:style w:type="character" w:customStyle="1" w:styleId="69">
    <w:name w:val="日期 Char"/>
    <w:qFormat/>
    <w:uiPriority w:val="0"/>
    <w:rPr>
      <w:rFonts w:ascii="宋体" w:hAnsi="宋体"/>
      <w:sz w:val="24"/>
      <w:szCs w:val="20"/>
    </w:rPr>
  </w:style>
  <w:style w:type="paragraph" w:styleId="70">
    <w:name w:val="List Paragraph"/>
    <w:basedOn w:val="1"/>
    <w:qFormat/>
    <w:uiPriority w:val="99"/>
    <w:pPr>
      <w:ind w:firstLine="420" w:firstLineChars="200"/>
    </w:pPr>
  </w:style>
  <w:style w:type="character" w:customStyle="1" w:styleId="71">
    <w:name w:val="InitialStyle"/>
    <w:qFormat/>
    <w:uiPriority w:val="0"/>
    <w:rPr>
      <w:rFonts w:ascii="Courier New" w:hAnsi="Courier New"/>
      <w:color w:val="auto"/>
      <w:spacing w:val="0"/>
      <w:sz w:val="24"/>
    </w:rPr>
  </w:style>
  <w:style w:type="paragraph" w:customStyle="1" w:styleId="72">
    <w:name w:val="正文文本缩进 21"/>
    <w:basedOn w:val="1"/>
    <w:qFormat/>
    <w:uiPriority w:val="0"/>
    <w:pPr>
      <w:widowControl/>
      <w:pBdr>
        <w:top w:val="none" w:color="auto" w:sz="0" w:space="0"/>
        <w:left w:val="none" w:color="auto" w:sz="0" w:space="0"/>
        <w:bottom w:val="none" w:color="auto" w:sz="0" w:space="0"/>
        <w:right w:val="none" w:color="auto" w:sz="0" w:space="0"/>
        <w:between w:val="none" w:color="auto" w:sz="0" w:space="0"/>
      </w:pBd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s>
      <w:overflowPunct w:val="0"/>
      <w:autoSpaceDE w:val="0"/>
      <w:autoSpaceDN w:val="0"/>
      <w:adjustRightInd w:val="0"/>
      <w:spacing w:line="240" w:lineRule="exact"/>
      <w:ind w:left="1077" w:hanging="1077"/>
      <w:textAlignment w:val="baseline"/>
    </w:pPr>
    <w:rPr>
      <w:rFonts w:ascii="Arial" w:hAnsi="Arial"/>
      <w:szCs w:val="20"/>
    </w:rPr>
  </w:style>
  <w:style w:type="paragraph" w:customStyle="1" w:styleId="73">
    <w:name w:val="正文文本缩进 22"/>
    <w:basedOn w:val="1"/>
    <w:qFormat/>
    <w:uiPriority w:val="0"/>
    <w:pPr>
      <w:pBdr>
        <w:top w:val="none" w:color="auto" w:sz="0" w:space="0"/>
        <w:left w:val="none" w:color="auto" w:sz="0" w:space="0"/>
        <w:bottom w:val="none" w:color="auto" w:sz="0" w:space="0"/>
        <w:right w:val="none" w:color="auto" w:sz="0" w:space="0"/>
        <w:between w:val="none" w:color="auto" w:sz="0" w:space="0"/>
      </w:pBd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s>
      <w:overflowPunct w:val="0"/>
      <w:autoSpaceDE w:val="0"/>
      <w:autoSpaceDN w:val="0"/>
      <w:adjustRightInd w:val="0"/>
      <w:spacing w:line="240" w:lineRule="exact"/>
      <w:ind w:left="1077" w:hanging="1077"/>
      <w:jc w:val="both"/>
      <w:textAlignment w:val="baseline"/>
    </w:pPr>
    <w:rPr>
      <w:rFonts w:ascii="Arial" w:hAnsi="Arial"/>
      <w:kern w:val="2"/>
      <w:szCs w:val="24"/>
    </w:rPr>
  </w:style>
  <w:style w:type="character" w:customStyle="1" w:styleId="74">
    <w:name w:val="未处理的提及1"/>
    <w:basedOn w:val="34"/>
    <w:semiHidden/>
    <w:unhideWhenUsed/>
    <w:qFormat/>
    <w:uiPriority w:val="99"/>
    <w:rPr>
      <w:color w:val="605E5C"/>
      <w:shd w:val="clear" w:color="auto" w:fill="E1DFDD"/>
    </w:rPr>
  </w:style>
  <w:style w:type="paragraph" w:customStyle="1" w:styleId="75">
    <w:name w:val="正文文本缩进1"/>
    <w:basedOn w:val="1"/>
    <w:qFormat/>
    <w:uiPriority w:val="0"/>
    <w:pPr>
      <w:adjustRightInd w:val="0"/>
      <w:spacing w:after="60" w:line="360" w:lineRule="atLeast"/>
      <w:ind w:left="30" w:leftChars="30" w:right="30" w:rightChars="30"/>
      <w:jc w:val="center"/>
      <w:textAlignment w:val="baseline"/>
    </w:pPr>
    <w:rPr>
      <w:rFonts w:ascii="Arial" w:hAnsi="Arial" w:eastAsia="黑体"/>
      <w:sz w:val="28"/>
      <w:szCs w:val="20"/>
    </w:rPr>
  </w:style>
  <w:style w:type="paragraph" w:customStyle="1" w:styleId="76">
    <w:name w:val="p0"/>
    <w:basedOn w:val="1"/>
    <w:qFormat/>
    <w:uiPriority w:val="0"/>
    <w:pPr>
      <w:widowControl/>
    </w:pPr>
    <w:rPr>
      <w:rFonts w:cs="宋体"/>
      <w:szCs w:val="21"/>
    </w:rPr>
  </w:style>
  <w:style w:type="paragraph" w:customStyle="1" w:styleId="77">
    <w:name w:val="WPSOffice手动目录 1"/>
    <w:qFormat/>
    <w:uiPriority w:val="0"/>
    <w:rPr>
      <w:rFonts w:ascii="Times New Roman" w:hAnsi="Times New Roman" w:eastAsia="宋体" w:cs="Times New Roman"/>
      <w:lang w:val="en-US" w:eastAsia="zh-CN" w:bidi="ar-SA"/>
    </w:rPr>
  </w:style>
  <w:style w:type="paragraph" w:customStyle="1" w:styleId="7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9">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80">
    <w:name w:val="_Style 58"/>
    <w:basedOn w:val="1"/>
    <w:next w:val="70"/>
    <w:qFormat/>
    <w:uiPriority w:val="99"/>
    <w:pPr>
      <w:widowControl/>
      <w:pBdr>
        <w:top w:val="none" w:color="auto" w:sz="0" w:space="0"/>
        <w:left w:val="none" w:color="auto" w:sz="0" w:space="0"/>
        <w:bottom w:val="none" w:color="auto" w:sz="0" w:space="0"/>
        <w:right w:val="none" w:color="auto" w:sz="0" w:space="0"/>
        <w:between w:val="none" w:color="auto" w:sz="0" w:space="0"/>
      </w:pBdr>
      <w:adjustRightInd w:val="0"/>
      <w:snapToGrid w:val="0"/>
      <w:spacing w:after="200"/>
      <w:ind w:firstLine="420" w:firstLineChars="200"/>
    </w:pPr>
    <w:rPr>
      <w:rFonts w:ascii="Tahoma" w:hAnsi="Tahoma" w:eastAsia="微软雅黑" w:cs="Tahoma"/>
      <w:szCs w:val="20"/>
    </w:rPr>
  </w:style>
  <w:style w:type="paragraph" w:customStyle="1" w:styleId="81">
    <w:name w:val="_Style 59"/>
    <w:basedOn w:val="1"/>
    <w:next w:val="70"/>
    <w:qFormat/>
    <w:uiPriority w:val="99"/>
    <w:pPr>
      <w:widowControl/>
      <w:pBdr>
        <w:top w:val="none" w:color="auto" w:sz="0" w:space="0"/>
        <w:left w:val="none" w:color="auto" w:sz="0" w:space="0"/>
        <w:bottom w:val="none" w:color="auto" w:sz="0" w:space="0"/>
        <w:right w:val="none" w:color="auto" w:sz="0" w:space="0"/>
        <w:between w:val="none" w:color="auto" w:sz="0" w:space="0"/>
      </w:pBdr>
      <w:adjustRightInd w:val="0"/>
      <w:snapToGrid w:val="0"/>
      <w:spacing w:after="200"/>
      <w:ind w:firstLine="420" w:firstLineChars="200"/>
    </w:pPr>
    <w:rPr>
      <w:rFonts w:ascii="Tahoma" w:hAnsi="Tahoma" w:eastAsia="微软雅黑" w:cs="Tahoma"/>
      <w:szCs w:val="20"/>
    </w:rPr>
  </w:style>
  <w:style w:type="character" w:customStyle="1" w:styleId="82">
    <w:name w:val="未处理的提及2"/>
    <w:basedOn w:val="34"/>
    <w:semiHidden/>
    <w:unhideWhenUsed/>
    <w:qFormat/>
    <w:uiPriority w:val="99"/>
    <w:rPr>
      <w:color w:val="605E5C"/>
      <w:shd w:val="clear" w:color="auto" w:fill="E1DFDD"/>
    </w:rPr>
  </w:style>
  <w:style w:type="character" w:customStyle="1" w:styleId="83">
    <w:name w:val="未处理的提及3"/>
    <w:basedOn w:val="34"/>
    <w:semiHidden/>
    <w:unhideWhenUsed/>
    <w:qFormat/>
    <w:uiPriority w:val="99"/>
    <w:rPr>
      <w:color w:val="605E5C"/>
      <w:shd w:val="clear" w:color="auto" w:fill="E1DFDD"/>
    </w:rPr>
  </w:style>
  <w:style w:type="paragraph" w:customStyle="1" w:styleId="84">
    <w:name w:val="列出段落11"/>
    <w:basedOn w:val="1"/>
    <w:qFormat/>
    <w:uiPriority w:val="0"/>
    <w:pPr>
      <w:pBdr>
        <w:top w:val="none" w:color="auto" w:sz="0" w:space="0"/>
        <w:left w:val="none" w:color="auto" w:sz="0" w:space="0"/>
        <w:bottom w:val="none" w:color="auto" w:sz="0" w:space="0"/>
        <w:right w:val="none" w:color="auto" w:sz="0" w:space="0"/>
        <w:between w:val="none" w:color="auto" w:sz="0" w:space="0"/>
      </w:pBdr>
      <w:ind w:firstLine="420" w:firstLineChars="200"/>
      <w:jc w:val="both"/>
    </w:pPr>
    <w:rPr>
      <w:rFonts w:ascii="Times New Roman" w:hAnsi="Times New Roman"/>
      <w:kern w:val="2"/>
      <w:sz w:val="21"/>
      <w:szCs w:val="24"/>
    </w:rPr>
  </w:style>
  <w:style w:type="paragraph" w:customStyle="1" w:styleId="85">
    <w:name w:val="TOC 标题2"/>
    <w:basedOn w:val="4"/>
    <w:next w:val="1"/>
    <w:unhideWhenUsed/>
    <w:qFormat/>
    <w:uiPriority w:val="39"/>
    <w:pPr>
      <w:widowControl/>
      <w:pBdr>
        <w:top w:val="none" w:color="auto" w:sz="0" w:space="0"/>
        <w:left w:val="none" w:color="auto" w:sz="0" w:space="0"/>
        <w:bottom w:val="none" w:color="auto" w:sz="0" w:space="0"/>
        <w:right w:val="none" w:color="auto" w:sz="0" w:space="0"/>
        <w:between w:val="none" w:color="auto" w:sz="0" w:space="0"/>
      </w:pBdr>
      <w:spacing w:before="240" w:line="259" w:lineRule="auto"/>
      <w:ind w:left="0"/>
      <w:outlineLvl w:val="9"/>
    </w:pPr>
    <w:rPr>
      <w:rFonts w:asciiTheme="majorHAnsi" w:hAnsiTheme="majorHAnsi" w:eastAsiaTheme="majorEastAsia" w:cstheme="majorBidi"/>
      <w:b w:val="0"/>
      <w:bCs w:val="0"/>
      <w:color w:val="376092" w:themeColor="accent1" w:themeShade="BF"/>
      <w:kern w:val="0"/>
      <w:szCs w:val="32"/>
    </w:rPr>
  </w:style>
  <w:style w:type="paragraph" w:customStyle="1" w:styleId="86">
    <w:name w:val="首行缩进"/>
    <w:basedOn w:val="1"/>
    <w:qFormat/>
    <w:uiPriority w:val="0"/>
    <w:pPr>
      <w:spacing w:line="360" w:lineRule="auto"/>
      <w:ind w:firstLine="480" w:firstLineChars="200"/>
    </w:pPr>
  </w:style>
  <w:style w:type="character" w:customStyle="1" w:styleId="87">
    <w:name w:val="标题 1 Char"/>
    <w:basedOn w:val="34"/>
    <w:link w:val="4"/>
    <w:qFormat/>
    <w:uiPriority w:val="0"/>
    <w:rPr>
      <w:rFonts w:ascii="Microsoft JhengHei" w:hAnsi="Microsoft JhengHei" w:eastAsia="Microsoft JhengHei" w:cs="Microsoft JhengHei"/>
      <w:b/>
      <w:bCs/>
      <w:sz w:val="32"/>
      <w:szCs w:val="32"/>
      <w:lang w:eastAsia="en-US"/>
    </w:rPr>
  </w:style>
  <w:style w:type="paragraph" w:customStyle="1" w:styleId="88">
    <w:name w:val="样式 标题 2 + Times New Roman 四号 非加粗 段前: 5 磅 段后: 0 磅 行距: 固定值 20..."/>
    <w:basedOn w:val="5"/>
    <w:qFormat/>
    <w:uiPriority w:val="0"/>
    <w:pPr>
      <w:spacing w:before="100" w:line="400" w:lineRule="exact"/>
    </w:pPr>
    <w:rPr>
      <w:rFonts w:ascii="Times New Roman" w:hAnsi="Times New Roman" w:eastAsia="黑体"/>
      <w:szCs w:val="20"/>
    </w:rPr>
  </w:style>
  <w:style w:type="character" w:customStyle="1" w:styleId="89">
    <w:name w:val="目录 8 Char"/>
    <w:link w:val="16"/>
    <w:qFormat/>
    <w:uiPriority w:val="39"/>
    <w:rPr>
      <w:rFonts w:asciiTheme="minorHAnsi" w:hAnsiTheme="minorHAnsi" w:cstheme="minorHAns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3BF20F-92E7-49C4-B8B4-3A2661B6C99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37</Pages>
  <Words>2968</Words>
  <Characters>16919</Characters>
  <Lines>140</Lines>
  <Paragraphs>39</Paragraphs>
  <TotalTime>174</TotalTime>
  <ScaleCrop>false</ScaleCrop>
  <LinksUpToDate>false</LinksUpToDate>
  <CharactersWithSpaces>19848</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2019-12-30T00:20:00Z</dcterms:created>
  <dc:creator>袁静</dc:creator>
  <cp:lastModifiedBy>半支烟</cp:lastModifiedBy>
  <cp:lastPrinted>2021-09-09T06:44:00Z</cp:lastPrinted>
  <dcterms:modified xsi:type="dcterms:W3CDTF">2021-11-18T00:37:25Z</dcterms:modified>
  <dc:title>中华人民共和国</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82A9BAFCF518441DA19051DB29E024AF</vt:lpwstr>
  </property>
</Properties>
</file>